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COV19FKG — Kassen</w:t>
      </w:r>
    </w:p>
    <w:p>
      <w:r>
        <w:rPr>
          <w:color w:val="555555"/>
          <w:sz w:val="18"/>
        </w:rPr>
        <w:t xml:space="preserve">COVID-19-Gesetz zur Funktionsfähigkeit der Kammern</w:t>
      </w:r>
    </w:p>
    <w:p>
      <w:r>
        <w:rPr>
          <w:color w:val="555555"/>
          <w:sz w:val="18"/>
        </w:rPr>
        <w:t xml:space="preserve">Historische Fassung: Stand 01.01.2022 bis 01.07.2022. Dies ist nicht die aktuelle Fassung.</w:t>
      </w:r>
    </w:p>
    <w:p>
      <w:r>
        <w:t xml:space="preserve">(1) Der Verwaltungsrat der Notarkasse und der Verwaltungsrat der Ländernotarkasse können Beschlüsse im Wege der schriftlichen Abstimmung fassen und Wahlen im Wege der Briefwahl oder als elektronische Wahl durchführen, wenn die Mehrheit der Verwaltungsratsmitglieder damit einverstanden ist.</w:t>
      </w:r>
    </w:p>
    <w:p>
      <w:r>
        <w:t xml:space="preserve">(2) Für die Wahl des Präsidenten der Notarkasse und die Wahl der Mitglieder des Verwaltungsrats der Kassen gilt § 5 Absatz 2 entsprechend.</w:t>
      </w:r>
    </w:p>
    <w:p>
      <w:r>
        <w:rPr>
          <w:color w:val="555555"/>
          <w:sz w:val="17"/>
        </w:rPr>
        <w:t xml:space="preserve">Zitiervorschlag: § 7 COV19FKG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https://recht.nulegal.eu/gesetze/cov19fkg--2020/7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