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COV19FKG — Geltungszeitraum</w:t>
      </w:r>
    </w:p>
    <w:p>
      <w:r>
        <w:rPr>
          <w:color w:val="555555"/>
          <w:sz w:val="18"/>
        </w:rPr>
        <w:t xml:space="preserve">COVID-19-Gesetz zur Funktionsfähigkeit der Kammern</w:t>
      </w:r>
    </w:p>
    <w:p>
      <w:r>
        <w:rPr>
          <w:color w:val="555555"/>
          <w:sz w:val="18"/>
        </w:rPr>
        <w:t xml:space="preserve">Historische Fassung: Stand 01.01.2022 bis 01.07.2022. Dies ist nicht die aktuelle Fassung.</w:t>
      </w:r>
    </w:p>
    <w:p>
      <w:r>
        <w:t xml:space="preserve">Die §§ 2, 4, 5 und 9 sind nur auf Beschlussfassungen, Wahlen und Kammerversammlungen, § 3 ist nur auf Beschlussfassungen, Wahlen sowie Haupt- und Satzungsversammlungen, § 6 ist nur auf Beschlussfassungen und Vertreterversammlungen, die §§ 7 und 8 sind nur auf Beschlussfassungen und Wahlen und § 10 ist nur auf Beschlussfassungen sowie Bundeskammer- und Satzungsversammlungen anzuwenden, die bis einschließlich zum 30. Juni 2022 stattfinden.</w:t>
      </w:r>
    </w:p>
    <w:p>
      <w:r>
        <w:rPr>
          <w:color w:val="555555"/>
          <w:sz w:val="17"/>
        </w:rPr>
        <w:t xml:space="preserve">Zitiervorschlag: § 11 COV19FKG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https://recht.nulegal.eu/gesetze/cov19fkg--2020/11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COV19FKG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