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CoronaSchV — Ausnahmen</w:t>
      </w:r>
    </w:p>
    <w:p>
      <w:r>
        <w:rPr>
          <w:color w:val="555555"/>
          <w:sz w:val="18"/>
        </w:rPr>
        <w:t xml:space="preserve">Coronavirus-Schutzverordnung</w:t>
      </w:r>
    </w:p>
    <w:p>
      <w:r>
        <w:rPr>
          <w:color w:val="555555"/>
          <w:sz w:val="18"/>
        </w:rPr>
        <w:t xml:space="preserve">Historische Fassung: Stand 23.12.2020 bis 25.01.2021. Dies ist nicht die aktuelle Fassung.</w:t>
      </w:r>
    </w:p>
    <w:p>
      <w:r>
        <w:t xml:space="preserve">§ 2 Satz 1 gilt in den folgenden Fällen nicht:</w:t>
      </w:r>
    </w:p>
    <w:p>
      <w:pPr>
        <w:ind w:left="420"/>
      </w:pPr>
      <w:r>
        <w:t xml:space="preserve">1. reine Post-, Fracht- oder Leertransporte,</w:t>
      </w:r>
    </w:p>
    <w:p>
      <w:pPr>
        <w:ind w:left="420"/>
      </w:pPr>
      <w:r>
        <w:t xml:space="preserve">2. Rückführung von Luftfahrzeugen, Schiffen und Crews,</w:t>
      </w:r>
    </w:p>
    <w:p>
      <w:pPr>
        <w:ind w:left="420"/>
      </w:pPr>
      <w:r>
        <w:t xml:space="preserve">3. Transporte mit medizinischem Personal im Interesse der öffentlichen Gesundheit, Ambulanzflüge und Flüge zum Transport von Transplantationsorganen sowie notwendiges Begleitpersonal,</w:t>
      </w:r>
    </w:p>
    <w:p>
      <w:pPr>
        <w:ind w:left="420"/>
      </w:pPr>
      <w:r>
        <w:t xml:space="preserve">4. Flüge aus humanitären Gründen,</w:t>
      </w:r>
    </w:p>
    <w:p>
      <w:pPr>
        <w:ind w:left="420"/>
      </w:pPr>
      <w:r>
        <w:t xml:space="preserve">5. Flüge im Auftrag der Internationalen Atomenergie-Organisation sowie der Vereinten Nationen und ihrer Organisationen.</w:t>
      </w:r>
    </w:p>
    <w:p>
      <w:r>
        <w:rPr>
          <w:color w:val="555555"/>
          <w:sz w:val="17"/>
        </w:rPr>
        <w:t xml:space="preserve">Zitiervorschlag: § 3 CoronaSchV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https://recht.nulegal.eu/gesetze/coronaschv--2020/3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