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CoronaImpfV — Terminvergabe</w:t>
      </w:r>
    </w:p>
    <w:p>
      <w:r>
        <w:rPr>
          <w:color w:val="555555"/>
          <w:sz w:val="18"/>
        </w:rPr>
        <w:t xml:space="preserve">Coronavirus-Impfverordnung</w:t>
      </w:r>
    </w:p>
    <w:p>
      <w:r>
        <w:rPr>
          <w:color w:val="555555"/>
          <w:sz w:val="18"/>
        </w:rPr>
        <w:t xml:space="preserve">Historische Fassung: Stand 23.12.2020 bis 10.02.2021. Dies ist nicht die aktuelle Fassung.</w:t>
      </w:r>
    </w:p>
    <w:p>
      <w:r>
        <w:t xml:space="preserve">(1) Die Kassenärztliche Bundesvereinigung entwickelt und betreibt ein standardisiertes Modul zur telefonischen und digitalen Vereinbarung von Terminen in den Impfzentren, das den Ländern zur Organisation der Terminvergabe zur Verfügung gestellt wird. Die bundesweit einheitliche Telefonnummer im Sinne von § 75 Absatz 1a Satz 2 erster Halbsatz des Fünften Buches Sozialgesetzbuch kann zur Steuerung der Anrufe in die Callcenter, die von den Ländern oder von durch die Länder beauftragten Dritten zur Vereinbarung der Termine betrieben werden, genutzt werden. Die Kassenärztliche Bundesvereinigung und die von ihr beauftragte Organisation sind berechtigt, zu den in Satz 1 genannten Zwecken personenbezogene Daten der Terminsuchenden zu verarbeiten und insbesondere an die zuständigen Callcenter und Impfzentren zu übermitteln. Die zuständigen Callcenter und Impfzentren dürfen auf das Modul nach Satz 1 zugreifen, um die Daten der Terminsuchenden in ihrem Zuständigkeitsbereich abzurufen. Sie dürfen die Daten nur zu dem in Satz 1 genannten Zweck verarbeiten.</w:t>
      </w:r>
    </w:p>
    <w:p>
      <w:r>
        <w:t xml:space="preserve">(2) Die notwendigen Kosten, die der Kassenärztlichen Bundesvereinigung für die wirtschaftliche Entwicklung und den Betrieb des Moduls nach Absatz 1 Satz 1 einschließlich der Nutzung der bundesweit einheitlichen Telefonnummer nach Absatz 1 Satz 2 entstehen, werden der Kassenärztlichen Bundesvereinigung aus der Liquiditätsreserve des Gesundheitsfonds erstattet.</w:t>
      </w:r>
    </w:p>
    <w:p>
      <w:r>
        <w:t xml:space="preserve">(3) Die Kassenärztliche Bundesvereinigung ist verpflichtet, die für die Erstattung nach Absatz 2 rechnungsbegründenden Unterlagen bis zum 31. Dezember 2024 unverändert zu speichern oder aufzubewahren.</w:t>
      </w:r>
    </w:p>
    <w:p>
      <w:r>
        <w:rPr>
          <w:color w:val="555555"/>
          <w:sz w:val="17"/>
        </w:rPr>
        <w:t xml:space="preserve">Zitiervorschlag: § 8 CoronaImpfV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https://recht.nulegal.eu/gesetze/coronaimpfv--2020/8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