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CoronaImpfV — Impfsurveillance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23.12.2020 bis 10.02.2021. Dies ist nicht die aktuelle Fassung.</w:t>
      </w:r>
    </w:p>
    <w:p>
      <w:r>
        <w:t xml:space="preserve">(1) Die Impfzentren und die bei ihnen angegliederten mobilen Impfteams haben täglich folgende Angaben nach § 13 Absatz 5 Satz 1 des Infektionsschutzgesetzes an das Robert Koch-Institut zu übermitteln:</w:t>
      </w:r>
    </w:p>
    <w:p>
      <w:pPr>
        <w:ind w:left="420"/>
      </w:pPr>
      <w:r>
        <w:t xml:space="preserve">1. Patienten-Pseudonym,</w:t>
      </w:r>
    </w:p>
    <w:p>
      <w:pPr>
        <w:ind w:left="420"/>
      </w:pPr>
      <w:r>
        <w:t xml:space="preserve">2. Geburtsmonat und -jahr,</w:t>
      </w:r>
    </w:p>
    <w:p>
      <w:pPr>
        <w:ind w:left="420"/>
      </w:pPr>
      <w:r>
        <w:t xml:space="preserve">3. Geschlecht,</w:t>
      </w:r>
    </w:p>
    <w:p>
      <w:pPr>
        <w:ind w:left="420"/>
      </w:pPr>
      <w:r>
        <w:t xml:space="preserve">4. fünfstellige Postleitzahl und Landkreis der zu impfenden Person,</w:t>
      </w:r>
    </w:p>
    <w:p>
      <w:pPr>
        <w:ind w:left="420"/>
      </w:pPr>
      <w:r>
        <w:t xml:space="preserve">5. Kennnummer und Landkreis des Impfzentrums,</w:t>
      </w:r>
    </w:p>
    <w:p>
      <w:pPr>
        <w:ind w:left="420"/>
      </w:pPr>
      <w:r>
        <w:t xml:space="preserve">6. Datum der Schutzimpfung,</w:t>
      </w:r>
    </w:p>
    <w:p>
      <w:pPr>
        <w:ind w:left="420"/>
      </w:pPr>
      <w:r>
        <w:t xml:space="preserve">7. Beginn oder Abschluss der Impfserie (Erst- oder Folgeimpfung),</w:t>
      </w:r>
    </w:p>
    <w:p>
      <w:pPr>
        <w:ind w:left="420"/>
      </w:pPr>
      <w:r>
        <w:t xml:space="preserve">8. impfstoffspezifische Dokumentationsnummer (Impfstoff-Produkt bzw. Handelsname),</w:t>
      </w:r>
    </w:p>
    <w:p>
      <w:pPr>
        <w:ind w:left="420"/>
      </w:pPr>
      <w:r>
        <w:t xml:space="preserve">9. Chargennummer,</w:t>
      </w:r>
    </w:p>
    <w:p>
      <w:pPr>
        <w:ind w:left="420"/>
      </w:pPr>
      <w:r>
        <w:t xml:space="preserve">10. Grundlage der Priorisierung nach §§ 2 bis 4.</w:t>
      </w:r>
    </w:p>
    <w:p>
      <w:r>
        <w:t xml:space="preserve">(2) Für die Datenübermittlung nach Absatz 1 ist das elektronische Melde- und Informationssystem nach § 14 des Infektionsschutzgesetzes zu nutzen. Das Robert Koch-Institut bestimmt nach § 13 Absatz 5 Satz 2 des Infektionsschutzgesetzes die technischen Übermittlungsstandards für die im Rahmen der Impfsurveillance und der Pharmakovigilanz zu übermittelnden Daten sowie das Verfahren zur Bildung des Patienten-Pseudonyms nach Absatz 1 Nummer 1.</w:t>
      </w:r>
    </w:p>
    <w:p>
      <w:r>
        <w:t xml:space="preserve">(3) Die aufgrund von Absatz 1 erhobenen Daten dürfen vom Robert Koch-Institut nur für Zwecke der Feststellung der Inanspruchnahme von Schutzimpfungen und von Impfeffekten (Impfsurveillance) und vom Paul-Ehrlich-Institut nur für Zwecke der Überwachung der Sicherheit von Impfstoffen (Pharmakovigilanz) verarbeitet werden. Das Robert Koch-Institut stellt dem Paul-Ehrlich-Institut diese Daten zur Verfügung.</w:t>
      </w:r>
    </w:p>
    <w:p>
      <w:r>
        <w:rPr>
          <w:color w:val="555555"/>
          <w:sz w:val="17"/>
        </w:rPr>
        <w:t xml:space="preserve">Zitiervorschlag: § 7 CoronaImpfV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https://recht.nulegal.eu/gesetze/coronaimpfv--2020/7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