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CoronaImpfV — Leistungserbringung</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Leistungen nach § 1 Absatz 1 werden in Impfzentren und durch mobile Impfteams, die den Impfzentren angegliedert sind, erbracht. Die Impfzentren werden von den Ländern oder im Auftrag der Länder errichtet und betrieben. Der Bund kann zur Durchführung von Schutzimpfungen bei den Beschäftigten des Bundes, insbesondere bei Personen, die als Funktionsträger in relevanter Position tätig sind, eigene Impfzentren betreiben.</w:t>
      </w:r>
    </w:p>
    <w:p>
      <w:r>
        <w:t xml:space="preserve">(2) Die obersten Landesgesundheitsbehörden und die von ihnen bestimmten Stellen bestimmen im Rahmen ihrer Zuständigkeit das Nähere zur Organisation der Erbringung der Schutzimpfungen. Dies umfasst insbesondere auch die Organisation der Terminvergabe. Die Länder und der Bund sowie die Länder untereinander stimmen sich hinsichtlich der Organisation der Erbringung der Schutzimpfungen in geeigneter Weise untereinander ab. Das Bundesministerium für Gesundheit regelt das Nähere zur Durchführung von Schutzimpfungen bei den Beschäftigten des Bundes.</w:t>
      </w:r>
    </w:p>
    <w:p>
      <w:r>
        <w:t xml:space="preserve">(3) Die zuständigen Stellen können hinsichtlich der Errichtung, Organisation und des Betriebs der Impfzentren einschließlich der mobilen Impfteams mit den Kassenärztlichen Vereinigungen und anderen geeigneten Dritten zusammenarbeiten und hierüber Vereinbarungen schließen; geeignete Dritte im Rahmen der Organisation von mobilen Impfteams können insbesondere Krankenhäuser und Betriebsärzte sein. Die Kassenärztlichen Vereinigungen sind, sofern das Land es bestimmt, zur Mitwirkung bei der Errichtung, Organisation und dem Betrieb der Impfzentren und der mobilen Impfteams verpflichtet; dies gilt nicht für die Organisation der Terminvergabe.</w:t>
      </w:r>
    </w:p>
    <w:p>
      <w:r>
        <w:t xml:space="preserve">(4) Zum Nachweis der Anspruchsberechtigung und zur Prüfung der Priorisierung nach § 1 Absatz 2 haben die anspruchsberechtigten Personen vor der Schutzimpfung gegenüber dem Impfzentrum oder dem mobilen Impfteam Folgendes vorzulegen:</w:t>
      </w:r>
    </w:p>
    <w:p>
      <w:pPr>
        <w:ind w:left="420"/>
      </w:pPr>
      <w:r>
        <w:t xml:space="preserve">1. ihren Personalausweis oder einen anderen Lichtbildausweis, aus dem der Wohnort oder gewöhnliche Aufenthaltsort hervorgeht; das gilt nicht für Personen, die in einer in den §§ 2 bis 4 genannten Einrichtung oder in einem in den §§ 2 bis 4 genannten Unternehmen behandelt, gepflegt oder betreut werden, sowie</w:t>
      </w:r>
    </w:p>
    <w:p>
      <w:pPr>
        <w:ind w:left="420"/>
      </w:pPr>
      <w:r>
        <w:t xml:space="preserve">2. bei Personen, die in einer in den §§ 2 bis 4 genannten Einrichtung oder in einem in den §§ 2 bis 4 genannten Unternehmen behandelt, gepflegt oder betreut werden oder tätig sind, eine Bescheinigung der Einrichtung oder des Unternehmens oder</w:t>
      </w:r>
    </w:p>
    <w:p>
      <w:pPr>
        <w:ind w:left="420"/>
      </w:pPr>
      <w:r>
        <w:t xml:space="preserve">3. die in § 3 Nummer 2 und § 4 Nummer 2 genannten Personen, bei denen krankheitsbedingt ein sehr hohes, hohes oder erhöhtes Risiko für einen schweren oder tödlichen Krankheitsverlauf nach einer Infektion mit dem Coronavirus SARS-CoV-2 nach §§ 3 und 4 besteht, ein ärztliches Zeugnis über das Vorliegen dieser Erkrankung oder</w:t>
      </w:r>
    </w:p>
    <w:p>
      <w:pPr>
        <w:ind w:left="420"/>
      </w:pPr>
      <w:r>
        <w:t xml:space="preserve">4. bei engen Kontaktpersonen im Sinne von § 3 Nummer 3, eine Bestätigung der in § 3 Nummer 3 Buchstabe a und b genannten Person oder ihres gesetzlichen Vertreters.</w:t>
      </w:r>
    </w:p>
    <w:p>
      <w:r>
        <w:t xml:space="preserve">(5) Die in § 3 Nummer 2 und § 4 Nummer 2 genannten Personen haben Anspruch auf Ausstellung eines ärztlichen Zeugnisses. Der Anspruch nach Satz 1 umfasst auch einen mit dem ärztlichen Zeugnis gegebenenfalls zu vergebenden Code für die Terminvergabe. Die Arztpraxen sind zur Ausstellung eines Nachweises nach Absatz 4 Nummer 3 berechtigt. Sofern der Anspruchsberechtigte aufgrund früherer Behandlung dem Arzt unmittelbar persönlich bekannt ist, können das ärztliche Zeugnis sowie der gegebenenfalls zu vergebende Code auch telefonisch angefordert und postalisch versandt werden.</w:t>
      </w:r>
    </w:p>
    <w:p>
      <w:r>
        <w:rPr>
          <w:color w:val="555555"/>
          <w:sz w:val="17"/>
        </w:rPr>
        <w:t xml:space="preserve">Zitiervorschlag: § 6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