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CoronaImpfV — Verfahren für die Zahlung aus der Liquiditätsreserve des Gesundheitsfonds</w:t>
      </w:r>
    </w:p>
    <w:p>
      <w:r>
        <w:rPr>
          <w:color w:val="555555"/>
          <w:sz w:val="18"/>
        </w:rPr>
        <w:t xml:space="preserve">Coronavirus-Impfverordnung</w:t>
      </w:r>
    </w:p>
    <w:p>
      <w:r>
        <w:rPr>
          <w:color w:val="555555"/>
          <w:sz w:val="18"/>
        </w:rPr>
        <w:t xml:space="preserve">Historische Fassung: Stand 23.12.2020 bis 10.02.2021. Dies ist nicht die aktuelle Fassung.</w:t>
      </w:r>
    </w:p>
    <w:p>
      <w:r>
        <w:t xml:space="preserve">(1) Jedes Land übermittelt monatlich oder quartalsweise die folgenden Angaben an das Bundesamt für Soziale Sicherung:</w:t>
      </w:r>
    </w:p>
    <w:p>
      <w:pPr>
        <w:ind w:left="420"/>
      </w:pPr>
      <w:r>
        <w:t xml:space="preserve">1. den sich für jedes Impfzentrum ergebenden Gesamtbetrag der erstattungsfähigen Kosten nach § 10 Absatz 1 Satz 1 einschließlich der Kennnummer des Impfzentrums und des Landkreises, in dem sich das Impfzentrum befindet, differenziert nach Sach- und Personalkosten und</w:t>
      </w:r>
    </w:p>
    <w:p>
      <w:pPr>
        <w:ind w:left="420"/>
      </w:pPr>
      <w:r>
        <w:t xml:space="preserve">2. den sich für das Land ergebenden Gesamtbetrag nach Nummer 1.</w:t>
      </w:r>
    </w:p>
    <w:p>
      <w:r>
        <w:t xml:space="preserve">Sachliche oder rechnerische Fehler in den nach Satz 1 übermittelten Angaben sind durch das Land in der nächsten Übermittlung zu berichtigen. Das Bundesamt für Soziale Sicherung zahlt 46,5 Prozent des nach Satz 1 Nummer 2 übermittelten Gesamtbetrags aus der Liquiditätsreserve des Gesundheitsfonds an das Land. Das Land kann ab dem 21. Dezember 2020 beim Bundesamt für Soziale Sicherung für jeden Monat oder für jedes Quartal eine Abschlagszahlung in Höhe von bis zu 50 Prozent des voraussichtlichen Gesamtbetrags nach Satz 1 Nummer 2 für den Monat oder für das Quartal beantragen. Übersteigt die Abschlagszahlung 46,5 Prozent des sich für den Monat oder das Quartal ergebenden Gesamtbetrags, der nach Satz 1 Nummer 2 durch das Land übermittelt wird, ist der Überschreitungsbetrag durch das Land an die Liquiditätsreserve des Gesundheitsfonds zu zahlen.</w:t>
      </w:r>
    </w:p>
    <w:p>
      <w:r>
        <w:t xml:space="preserve">(2) Jede Kassenärztliche Vereinigung übermittelt monatlich oder quartalsweise den Betrag der sich nach § 9 Absatz 2 Satz 1 ergebenden Abrechnung an das Bundesamt für Soziale Sicherung. Sachliche oder rechnerische Fehler in dem nach Satz 1 übermittelten Betrag sind durch die jeweilige Kassenärztliche Vereinigung in der nächsten Übermittlung zu berichtigen. Das Bundesamt für Soziale Sicherung zahlt den Betrag aus der Liquiditätsreserve des Gesundheitsfonds an die Kassenärztliche Vereinigung.</w:t>
      </w:r>
    </w:p>
    <w:p>
      <w:r>
        <w:t xml:space="preserve">(3) Die Kassenärztliche Bundesvereinigung übermittelt quartalsweise den Betrag der nach § 8 Absatz 2 erstattungsfähigen Kosten an das Bundesamt für Soziale Sicherung. Sachliche oder rechnerische Fehler in dem nach Satz 1 übermittelten Betrag sind durch die Kassenärztliche Bundesvereinigung in der nächsten Übermittlung zu berichtigen. Das Bundesamt für Soziale Sicherung zahlt den Betrag aus der Liquiditätsreserve des Gesundheitsfonds an die Kassenärztliche Bundesvereinigung.</w:t>
      </w:r>
    </w:p>
    <w:p>
      <w:r>
        <w:t xml:space="preserve">(4) Das Bundesamt für Soziale Sicherung bestimmt das Nähere zum Verfahren nach den Absätzen 1 bis 3. Es informiert den Verband der Privaten Krankenversicherung über das nach Satz 1 bestimmte Verfahren der Übermittlung nach Absatz 1 Satz 1 und 2.</w:t>
      </w:r>
    </w:p>
    <w:p>
      <w:r>
        <w:t xml:space="preserve">(5) Das Bundesamt für Soziale Sicherung übermittelt dem Bundesministerium für Gesundheit monatlich eine Aufstellung der nach Absatz 1 Satz 3 und 4, Absatz 2 Satz 3 und Absatz 3 Satz 3 ausgezahlten Beträge und die Angaben nach Absatz 1 Satz 1.</w:t>
      </w:r>
    </w:p>
    <w:p>
      <w:r>
        <w:t xml:space="preserve">(6) Das Robert Koch-Institut übermittelt dem Bundesministerium für Gesundheit und den Ländern monatlich für jeden Kalendermonat die Anzahl der Schutzimpfungen je Impfzentrum.</w:t>
      </w:r>
    </w:p>
    <w:p>
      <w:r>
        <w:rPr>
          <w:color w:val="555555"/>
          <w:sz w:val="17"/>
        </w:rPr>
        <w:t xml:space="preserve">Zitiervorschlag: § 11 CoronaImpfV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