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CoronaImpfV — Teilfinanzierung der Kosten der Impfzentren</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(1) Die notwendigen Kosten für die Errichtung, Vorhaltung ab dem 15. Dezember 2020 und den laufenden Betrieb von Impfzentren einschließlich der mobilen Impfteams, die von den Ländern oder im Auftrag der Länder errichtet, vorgehalten oder betrieben werden, werden nach Maßgabe der Absätze 2 bis 4 in der entstandenen Höhe zu 46,5 Prozent aus der Liquiditätsreserve des Gesundheitsfonds und zu 3,5 Prozent von den privaten Krankenversicherungsunternehmen erstattet. Die Impfzentren einschließlich der mobilen Impfteams sind wirtschaftlich zu betreiben, insbesondere hinsichtlich der Ausstattung mit Personal- und Sachmitteln, der genutzten Räumlichkeiten sowie der Dauer des Betriebs.</w:t>
      </w:r>
    </w:p>
    <w:p>
      <w:r>
        <w:t xml:space="preserve">(2) Notwendige Kosten nach Absatz 1 Satz 1 sind die Personal- und Sachkosten zur Errichtung, Vorhaltung ab dem 15. Dezember 2020 und zum Betrieb des Impfzentrums einschließlich der mobilen Impfteams. Dies umfasst auch die Kosten der für die Terminvergabe durch die Länder oder durch beauftragte Dritte betriebenen Callcenter.</w:t>
      </w:r>
    </w:p>
    <w:p>
      <w:r>
        <w:t xml:space="preserve">(3) Von der Erstattung ausgeschlossen sind:</w:t>
      </w:r>
    </w:p>
    <w:p>
      <w:pPr>
        <w:ind w:left="420"/>
      </w:pPr>
      <w:r>
        <w:t xml:space="preserve">1. die Kosten von eigenem Personal des Bundes, der Länder, der obersten Landesbehörden und Kommunen einschließlich des öffentlichen Gesundheitsdienstes, mit Ausnahme von Personal der Verwaltung der Länder und Kommunen, welches in den Impfzentren eingesetzt wird,</w:t>
      </w:r>
    </w:p>
    <w:p>
      <w:pPr>
        <w:ind w:left="420"/>
      </w:pPr>
      <w:r>
        <w:t xml:space="preserve">2. die Kosten von Einrichtungen des Gesundheitswesens, die durch die Impfung der jeweiligen eigenen Beschäftigten entstehen,</w:t>
      </w:r>
    </w:p>
    <w:p>
      <w:pPr>
        <w:ind w:left="420"/>
      </w:pPr>
      <w:r>
        <w:t xml:space="preserve">3. die Kosten der vom Bund beschafften Impfstoffe und ihrer Lieferung zu den von den Ländern benannten Standorten sowie die Kosten des Weitertransportes des Impfstoffes zu den Impfzentren,</w:t>
      </w:r>
    </w:p>
    <w:p>
      <w:pPr>
        <w:ind w:left="420"/>
      </w:pPr>
      <w:r>
        <w:t xml:space="preserve">4. die Kosten für ein gesondertes Einladungsmanagement,</w:t>
      </w:r>
    </w:p>
    <w:p>
      <w:pPr>
        <w:ind w:left="420"/>
      </w:pPr>
      <w:r>
        <w:t xml:space="preserve">5. die Kosten für Impfbesteck und -zubehör,</w:t>
      </w:r>
    </w:p>
    <w:p>
      <w:pPr>
        <w:ind w:left="420"/>
      </w:pPr>
      <w:r>
        <w:t xml:space="preserve">6. die Kosten, die im Rahmen der Amtshilfe durch die Bundeswehr entstehen, und</w:t>
      </w:r>
    </w:p>
    <w:p>
      <w:pPr>
        <w:ind w:left="420"/>
      </w:pPr>
      <w:r>
        <w:t xml:space="preserve">7. weitere Kosten, soweit diese bereits aufgrund eines Gesetzes vergütet oder erstattet werden.</w:t>
      </w:r>
    </w:p>
    <w:p>
      <w:r>
        <w:t xml:space="preserve">(4) Die Leistungserbringer nach § 6 Absatz 1 sind verpflichtet, die für die Erstattung nach Absatz 1 Satz 1 rechnungsbegründenden Unterlagen bis zum 31. Dezember 2024 unverändert zu speichern oder aufzubewahren.</w:t>
      </w:r>
    </w:p>
    <w:p>
      <w:r>
        <w:rPr>
          <w:color w:val="555555"/>
          <w:sz w:val="17"/>
        </w:rPr>
        <w:t xml:space="preserve">Zitiervorschlag: § 10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