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CoronaEinreiseV — Ausnahmen von der Test- und Nachweispflicht</w:t>
      </w:r>
    </w:p>
    <w:p>
      <w:r>
        <w:rPr>
          <w:color w:val="555555"/>
          <w:sz w:val="18"/>
        </w:rPr>
        <w:t xml:space="preserve">Coronavirus-Einreiseverordnung</w:t>
      </w:r>
    </w:p>
    <w:p>
      <w:r>
        <w:rPr>
          <w:color w:val="555555"/>
          <w:sz w:val="18"/>
        </w:rPr>
        <w:t xml:space="preserve">Historische Fassung: Stand 31.03.2021 bis 13.05.2021. Dies ist nicht die aktuelle Fassung.</w:t>
      </w:r>
    </w:p>
    <w:p>
      <w:r>
        <w:t xml:space="preserve">(1) Von § 3 Absatz 1 nicht erfasst sind:</w:t>
      </w:r>
    </w:p>
    <w:p>
      <w:pPr>
        <w:ind w:left="420"/>
      </w:pPr>
      <w:r>
        <w:t xml:space="preserve">1. Personen, für die eine Ausnahme von der Anmeldepflicht nach § 2 Absatz 1 gilt,</w:t>
      </w:r>
    </w:p>
    <w:p>
      <w:pPr>
        <w:ind w:left="420"/>
      </w:pPr>
      <w:r>
        <w:t xml:space="preserve">2. bei Aufenthalten von weniger als 72 Stunden</w:t>
      </w:r>
    </w:p>
    <w:p>
      <w:pPr>
        <w:ind w:left="780"/>
      </w:pPr>
      <w:r>
        <w:t xml:space="preserve">a) Personen, die einreisen aufgrund des Besuchs von Verwandten ersten Grades, des nicht dem gleichen Hausstand angehörigen Ehegatten, Lebenspartners oder Lebensgefährten oder aufgrund eines geteilten Sorgerechts oder eines Umgangsrechts,</w:t>
      </w:r>
    </w:p>
    <w:p>
      <w:pPr>
        <w:ind w:left="780"/>
      </w:pPr>
      <w:r>
        <w:t xml:space="preserve">b) bei Einhaltung angemessener Schutz- und Hygienekonzepte Personen, deren Tätigkeit für die Aufrechterhaltung des Gesundheitswesens dringend erforderlich und unabdingbar ist, und dies durch den Dienstherrn, Arbeitgeber oder Auftraggeber bescheinigt wird,</w:t>
      </w:r>
    </w:p>
    <w:p>
      <w:pPr>
        <w:ind w:left="780"/>
      </w:pPr>
      <w:r>
        <w:t xml:space="preserve">c) bei Einhaltung angemessener Schutz- und Hygienekonzepte hochrangige Mitglieder des diplomatischen und konsularischen Dienstes, von Volksvertretungen und Regierungen,</w:t>
      </w:r>
    </w:p>
    <w:p>
      <w:pPr>
        <w:ind w:left="780"/>
      </w:pPr>
      <w:r>
        <w:t xml:space="preserve">d) Polizeivollzugsbeamte aus Staaten, die den Schengen-Besitzstand vollständig anwenden, in Ausübung ihres Dienstes,</w:t>
      </w:r>
    </w:p>
    <w:p>
      <w:pPr>
        <w:ind w:left="420"/>
      </w:pPr>
      <w:r>
        <w:t xml:space="preserve">3. bei Einhaltung angemessener Schutz- und Hygienekonzepte Personen,</w:t>
      </w:r>
    </w:p>
    <w:p>
      <w:pPr>
        <w:ind w:left="780"/>
      </w:pPr>
      <w:r>
        <w:t xml:space="preserve">a) die in der Bundesrepublik Deutschland ihren Wohnsitz haben und die sich zwingend notwendig zum Zweck ihrer Berufsausübung, ihres Studiums oder ihrer Ausbildung an ihre Berufsausübungs-, Studien- oder Ausbildungsstätte in einem Risikogebiet begeben und regelmäßig, mindestens einmal wöchentlich, an ihren Wohnsitz zurückkehren (Grenzpendler) oder</w:t>
      </w:r>
    </w:p>
    <w:p>
      <w:pPr>
        <w:ind w:left="780"/>
      </w:pPr>
      <w:r>
        <w:t xml:space="preserve">b) die in einem Risikogebiet ihren Wohnsitz haben und die sich zwingend notwendig zum Zweck ihrer Berufsausübung, ihres Studiums oder ihrer Ausbildung in die Bundesrepublik Deutschland begeben und regelmäßig, mindestens einmal wöchentlich, an ihren Wohnsitz zurückkehren (Grenzgänger),</w:t>
      </w:r>
    </w:p>
    <w:p>
      <w:pPr>
        <w:ind w:left="420"/>
      </w:pPr>
      <w:r>
        <w:t xml:space="preserve">4. Personen nach § 54a des Infektionsschutzgesetzes,</w:t>
      </w:r>
    </w:p>
    <w:p>
      <w:pPr>
        <w:ind w:left="420"/>
      </w:pPr>
      <w:r>
        <w:t xml:space="preserve">5. Angehörige ausländischer Streitkräfte im Sinne des NATO-Truppenstatuts, des Truppenstatuts der NATO-Partnerschaft für den Frieden (PfP-Truppenstatut) und des Truppenstatuts der Mitgliedstaaten der Europäischen Union (EU-Truppenstatut), die zu dienstlichen Zwecken nach Deutschland einreisen oder dorthin zurückkehren.</w:t>
      </w:r>
    </w:p>
    <w:p>
      <w:r>
        <w:t xml:space="preserve">In begründeten Einzelfällen kann die zuständige Behörde auf Antrag weitere Ausnahmen bei Vorliegen eines triftigen Grundes erteilen oder Ausnahmen nach Satz 1 einschränken.</w:t>
      </w:r>
    </w:p>
    <w:p>
      <w:r>
        <w:t xml:space="preserve">(2) Von § 3 Absatz 2 nicht erfasst sind folgende Einreisende aus Hochinzidenzgebieten:</w:t>
      </w:r>
    </w:p>
    <w:p>
      <w:pPr>
        <w:ind w:left="420"/>
      </w:pPr>
      <w:r>
        <w:t xml:space="preserve">1. Personen, die durch ein Hochinzidenzgebiet lediglich durchgereist sind und dort keinen Zwischenaufenthalt hatten,</w:t>
      </w:r>
    </w:p>
    <w:p>
      <w:pPr>
        <w:ind w:left="420"/>
      </w:pPr>
      <w:r>
        <w:t xml:space="preserve">2. Personen, die nur zur Durchreise in die Bundesrepublik Deutschland einreisen und die Bundesrepublik Deutschland auf schnellstem Wege wieder verlassen, um die Durchreise abzuschließen,</w:t>
      </w:r>
    </w:p>
    <w:p>
      <w:pPr>
        <w:ind w:left="420"/>
      </w:pPr>
      <w:r>
        <w:t xml:space="preserve">3. bei Aufenthalten von weniger als 72 Stunden und bei Einhaltung angemessener Schutz- und Hygienekonzepte Personen, die beruflich bedingt grenzüberschreitend Personen, Waren oder Güter auf der Straße, der Schiene, per Schiff oder per Flugzeug transportieren,</w:t>
      </w:r>
    </w:p>
    <w:p>
      <w:pPr>
        <w:ind w:left="420"/>
      </w:pPr>
      <w:r>
        <w:t xml:space="preserve">4. Personen, die als Teil von offiziellen Delegationen über das Regierungsterminal des Flughafens Berlin Brandenburg oder über den Flughafen Köln/Bonn nach Deutschland zurückreisen und sich weniger als 72 Stunden in einem Risikogebiet aufgehalten haben,</w:t>
      </w:r>
    </w:p>
    <w:p>
      <w:pPr>
        <w:ind w:left="420"/>
      </w:pPr>
      <w:r>
        <w:t xml:space="preserve">5. Personen, bei denen in begründeten Einzelfällen die zuständige Behörde im Sinne des Infektionsschutzgesetzes weitere Ausnahmen bei Vorliegen eines triftigen Grundes erteilt hat.</w:t>
      </w:r>
    </w:p>
    <w:p>
      <w:r>
        <w:t xml:space="preserve">(3) Für Einreisende aus einem Virusvarianten-Gebiet gelten in Abweichung von Absatz 2 keine Ausnahmen von § 3 Absatz 2.</w:t>
      </w:r>
    </w:p>
    <w:p>
      <w:r>
        <w:t xml:space="preserve">(3a) Von § 3 Absatz 2a Satz 1 nicht erfasst sind Personen, für die eine Ausnahme von der Anmeldepflicht nach § 2 Absatz 1 Nummer 4 und 5 gilt.</w:t>
      </w:r>
    </w:p>
    <w:p>
      <w:r>
        <w:t xml:space="preserve">(4) § 3 gilt nicht für Personen, die das sechste Lebensjahr noch nicht vollendet haben.</w:t>
      </w:r>
    </w:p>
    <w:p>
      <w:r>
        <w:t xml:space="preserve">(5) Die Absätze 1, 2 und 4 gelten nur, soweit die dort bezeichneten Personen keine typischen Symptome einer Infektion mit dem Coronavirus SARS-CoV-2 wie Husten, Fieber, Schnupfen oder Verlust des Geruchs- und Geschmackssinns aufweisen.</w:t>
      </w:r>
    </w:p>
    <w:p>
      <w:r>
        <w:t xml:space="preserve">(6) Das Vorliegen der Voraussetzungen einer Ausnahme nach den Absätzen 1, 2 und 4 ist auf Verlangen der zuständigen Behörde im Sinne des Infektionsschutzgesetzes, des Beförderers oder der mit der polizeilichen Kontrolle des grenzüberschreitenden Verkehrs beauftragten Behörde glaubhaft zu machen.</w:t>
      </w:r>
    </w:p>
    <w:p>
      <w:r>
        <w:t xml:space="preserve">(7) Die Absätze 5 und 6 gelten für die Ausnahme nach Absatz 3a entsprechend.</w:t>
      </w:r>
    </w:p>
    <w:p>
      <w:r>
        <w:rPr>
          <w:color w:val="555555"/>
          <w:sz w:val="17"/>
        </w:rPr>
        <w:t xml:space="preserve">Zitiervorschlag: § 4 CoronaEinreiseV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https://recht.nulegal.eu/gesetze/coronaeinreisev--2021/4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