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Corona-ArbSchV</w:t>
      </w:r>
    </w:p>
    <w:p>
      <w:r>
        <w:rPr>
          <w:color w:val="555555"/>
          <w:sz w:val="18"/>
        </w:rPr>
        <w:t xml:space="preserve">SARS-CoV-2-Arbeitsschutzverordnung</w:t>
      </w:r>
    </w:p>
    <w:p>
      <w:r>
        <w:rPr>
          <w:color w:val="555555"/>
          <w:sz w:val="18"/>
        </w:rPr>
        <w:t xml:space="preserve">Historische Fassung: Stand 01.05.2021 bis 01.07.2021. Dies ist nicht die aktuelle Fassung.</w:t>
      </w:r>
    </w:p>
    <w:p>
      <w:r>
        <w:t xml:space="preserve">Auf Grund des § 18 Absatz 3 des Arbeitsschutzgesetzes, der durch Artikel 1 Nummer 1 Buchstabe b des Gesetzes vom 22. Dezember 2020 (BGBl. I S. 3334) eingefügt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Corona-ArbSchV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https://recht.nulegal.eu/gesetze/corona-arbschv--2021/eingangsformel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