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Corona-ArbSchV — Inkrafttreten, Außerkrafttreten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20.04.2021 bis 01.07.2021. Dies ist nicht die aktuelle Fassung.</w:t>
      </w:r>
    </w:p>
    <w:p>
      <w:r>
        <w:t xml:space="preserve">Diese Verordnung tritt am fünften Tag nach der Verkündung in Kraft; sie tritt am Tag der Aufhebung der Feststellung der epidemischen Lage von nationaler Tragweite durch den Deutschen Bundestag nach § 5 Absatz 1 Satz 2 des Infektionsschutzgesetzes, spätestens jedoch mit Ablauf des 30. Juni 2021 außer Kraft.</w:t>
      </w:r>
    </w:p>
    <w:p>
      <w:r>
        <w:rPr>
          <w:color w:val="555555"/>
          <w:sz w:val="17"/>
        </w:rPr>
        <w:t xml:space="preserve">Zitiervorschlag: § 6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