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ZDF-StV (Bayern) — Auskunftspflicht</w:t>
      </w:r>
    </w:p>
    <w:p>
      <w:r>
        <w:rPr>
          <w:color w:val="555555"/>
          <w:sz w:val="18"/>
        </w:rPr>
        <w:t xml:space="preserve">ZDF-Staatsvertrag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Die Anstalt hat auf Verlangen Namen und Dienstanschrift des Intendanten oder der sonstigen für Angebote Verantwortlichen mitzuteilen.</w:t>
      </w:r>
    </w:p>
    <w:p>
      <w:r>
        <w:rPr>
          <w:color w:val="555555"/>
          <w:sz w:val="17"/>
        </w:rPr>
        <w:t xml:space="preserve">Zitiervorschlag: § 13 ZDF-StV (Bayern)</w:t>
      </w:r>
    </w:p>
    <w:p>
      <w:r>
        <w:rPr>
          <w:color w:val="555555"/>
          <w:sz w:val="17"/>
        </w:rPr>
        <w:t xml:space="preserve">Quelle: bayernrecht, abgerufen 27.08.2026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https://recht.nulegal.eu/gesetze/by-ZDF_StV--1991/13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