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Bilgenentwässerungsverband-Staatsvertrag (Bayern)</w:t>
      </w:r>
    </w:p>
    <w:p>
      <w:r>
        <w:rPr>
          <w:color w:val="555555"/>
          <w:sz w:val="18"/>
        </w:rPr>
        <w:t xml:space="preserve">Staatsvertrag über die Bestimmung einer innerstaatlichen Institution nach dem Gesetz zu dem Übereinkommen vom 9. September 1996 über die Sammlung, Abgabe und Annahme von Abfällen in der Rhein- und Binnenschifffahrt Vom 1. Februar 2008 – 11. Mai 2010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Länder im räumlichen Geltungsbereich nach Artikel 2 des Übereinkommens über die Sammlung, Abgabe und Annahme von Abfällen in der Rhein- und Binnenschifffahrt vom 9. September 1996 (BGBl. II S. 1799), namentlich</w:t>
      </w:r>
    </w:p>
    <w:p>
      <w:r>
        <w:rPr>
          <w:color w:val="555555"/>
          <w:sz w:val="17"/>
        </w:rPr>
        <w:t xml:space="preserve">Zitiervorschlag: Eingangsformel Bilgenentwässerungsverband-Staatsvertrag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https://recht.nulegal.eu/gesetze/by-StVBilgEntwVStV--1996/eingangsformel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