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4 Bilgenentwässerungsverband-Staatsvertrag (Bayern) — Inkrafttreten</w:t>
      </w:r>
    </w:p>
    <w:p>
      <w:r>
        <w:rPr>
          <w:color w:val="555555"/>
          <w:sz w:val="18"/>
        </w:rPr>
        <w:t xml:space="preserve">Staatsvertrag über die Bestimmung einer innerstaatlichen Institution nach dem Gesetz zu dem Übereinkommen vom 9. September 1996 über die Sammlung, Abgabe und Annahme von Abfällen in der Rhein- und Binnenschifffahrt Vom 1. Februar 2008 – 11. Mai 2010</w:t>
      </w:r>
    </w:p>
    <w:p>
      <w:r>
        <w:rPr>
          <w:color w:val="555555"/>
          <w:sz w:val="18"/>
        </w:rPr>
        <w:t xml:space="preserve">Landesrecht Bayern</w:t>
      </w:r>
    </w:p>
    <w:p>
      <w:r>
        <w:rPr>
          <w:color w:val="555555"/>
          <w:sz w:val="18"/>
        </w:rPr>
        <w:t xml:space="preserve">Stand: 25.08.2026 (konsolidierte Textfassung, kein amtliches Inkrafttretensdatum)</w:t>
      </w:r>
    </w:p>
    <w:p>
      <w:r>
        <w:t xml:space="preserve">Dieser Staatsvertrag bedarf nach Zustimmung der verfassungsmäßig zuständigen Organe der Vertragspartner der Ratifikation. Dieser Staatsvertrag tritt an dem Tage in Kraft, an dem das Übereinkommen über die Sammlung, Abgabe und Annahme von Abfällen in der Rhein- und Binnenschifffahrt in Kraft tritt und zusätzlich die Ratifikationsurkunden der beteiligten Länder zu diesem Staatsvertrag vollständig bei der Staatskanzlei des Landes Nordrhein-Westfalen hinterlegt worden sind. Die Staatskanzlei des Landes Nordrhein-Westfalen teilt den beteiligten Ländern die Hinterlegung der letzten Ratifikationsurkunde mit.</w:t>
      </w:r>
    </w:p>
    <w:p>
      <w:r>
        <w:rPr>
          <w:color w:val="555555"/>
          <w:sz w:val="17"/>
        </w:rPr>
        <w:t xml:space="preserve">Zitiervorschlag: Art 4 Bilgenentwässerungsverband-Staatsvertrag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https://recht.nulegal.eu/gesetze/by-StVBilgEntwVStV--1996/4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4 Bilgenentwässerungsverband-Staatsvertrag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