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RFinStV (Bayern) — Verfahren bei den Ländern</w:t>
      </w:r>
    </w:p>
    <w:p>
      <w:r>
        <w:rPr>
          <w:color w:val="555555"/>
          <w:sz w:val="18"/>
        </w:rPr>
        <w:t xml:space="preserve">Rundfunkfinanzierungsstaatsvertrag vom 26. August–11. September 1996</w:t>
      </w:r>
    </w:p>
    <w:p>
      <w:r>
        <w:rPr>
          <w:color w:val="555555"/>
          <w:sz w:val="18"/>
        </w:rPr>
        <w:t xml:space="preserve">Landesrecht Bayern</w:t>
      </w:r>
    </w:p>
    <w:p>
      <w:r>
        <w:rPr>
          <w:color w:val="555555"/>
          <w:sz w:val="18"/>
        </w:rPr>
        <w:t xml:space="preserve">Stand: 27.08.2026 (konsolidierte Textfassung, kein amtliches Inkrafttretensdatum)</w:t>
      </w:r>
    </w:p>
    <w:p>
      <w:r>
        <w:t xml:space="preserve">(1) Die Rundfunkkommission der Länder erhält von den Rundfunkanstalten zeitgleich die der KEF zugeleiteten Bedarfsanmeldungen und diese erläuternde sowie ergänzende weitere Unterlagen der Rundfunkanstalten.</w:t>
      </w:r>
    </w:p>
    <w:p>
      <w:r>
        <w:t xml:space="preserve">(2) Der Beitragsvorschlag der KEF ist Grundlage für eine Entscheidung der Landesregierungen und der Landesparlamente. Davon beabsichtigte Abweichungen soll die Rundfunkkommission der Länder mit den Rundfunkanstalten unter Einbeziehung der KEF erörtern. Die Abweichungen sind zu begründen.</w:t>
      </w:r>
    </w:p>
    <w:p>
      <w:r>
        <w:rPr>
          <w:color w:val="555555"/>
          <w:sz w:val="17"/>
        </w:rPr>
        <w:t xml:space="preserve">Zitiervorschlag: § 7 RFinStV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https://recht.nulegal.eu/gesetze/by-RFinStV--alt/7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