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RFinStV (Bayern) — Umfang der Finanzausgleichsmasse</w:t>
      </w:r>
    </w:p>
    <w:p>
      <w:r>
        <w:rPr>
          <w:color w:val="555555"/>
          <w:sz w:val="18"/>
        </w:rPr>
        <w:t xml:space="preserve">Rundfunkfinanzierungsstaatsvertrag vom 26. August–11. September 1996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27.08.2026 (konsolidierte Textfassung, kein amtliches Inkrafttretensdatum)</w:t>
      </w:r>
    </w:p>
    <w:p>
      <w:r>
        <w:t xml:space="preserve">Die Finanzausgleichsmasse beträgt 1,6 vom Hundert des ARD-Nettobeitragsaufkommens. Die Finanzausgleichsmasse wird im Verhältnis 50,92 vom Hundert zu 49,08 vom Hundert auf den Saarländischen Rundfunk und Radio Bremen aufgeteilt.</w:t>
      </w:r>
    </w:p>
    <w:p>
      <w:r>
        <w:rPr>
          <w:color w:val="555555"/>
          <w:sz w:val="17"/>
        </w:rPr>
        <w:t xml:space="preserve">Zitiervorschlag: § 14 RFinStV (Bayern)</w:t>
      </w:r>
    </w:p>
    <w:p>
      <w:r>
        <w:rPr>
          <w:color w:val="555555"/>
          <w:sz w:val="17"/>
        </w:rPr>
        <w:t xml:space="preserve">Quelle: bayernrecht, abgerufen 27.08.2026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https://recht.nulegal.eu/gesetze/by-RFinStV--alt/14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