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99e MStV (Bayern) — Satzungen und Richtlinien, Berichtspflichten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Landesmedienanstalten können übereinstimmende Satzungen oder Richtlinien zur Durchführung oder Umsetzung delegierter Rechtsakte der Europäischen Kommission, die auf Grund der Richtlinie (EU) 2019/882 ergehen, erlassen.</w:t>
      </w:r>
    </w:p>
    <w:p>
      <w:r>
        <w:t xml:space="preserve">(2) Zur Berichterstattung nach Artikel 33 Abs. 2 und 3 der Richtlinie (EU) 2019/882 übermitteln die Landesmedienanstalten den nach § 111a zuständigen Behörden rechtzeitig alle notwendigen Informationen und Unterlagen.</w:t>
      </w:r>
    </w:p>
    <w:p>
      <w:r>
        <w:rPr>
          <w:color w:val="555555"/>
          <w:sz w:val="17"/>
        </w:rPr>
        <w:t xml:space="preserve">Zitiervorschlag: § 99e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https://recht.nulegal.eu/gesetze/by-MStV--alt/99e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99e MStV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