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96 MStV (Bayern) — Satzungen und Richtlinien</w:t>
      </w:r>
    </w:p>
    <w:p>
      <w:r>
        <w:rPr>
          <w:color w:val="555555"/>
          <w:sz w:val="18"/>
        </w:rPr>
        <w:t xml:space="preserve">Medienstaatsvertrag Vom 14.–28. April 2020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Die Landesmedienanstalten regeln durch gemeinsame Satzungen und Richtlinien Einzelheiten zur Konkretisierung der sie betreffenden Bestimmungen dieses Unterabschnitts. Dabei ist die Orientierungsfunktion der Medienintermediäre für die jeweiligen Nutzerkreise zu berücksichtigen.</w:t>
      </w:r>
    </w:p>
    <w:p>
      <w:r>
        <w:rPr>
          <w:color w:val="555555"/>
          <w:sz w:val="17"/>
        </w:rPr>
        <w:t xml:space="preserve">Zitiervorschlag: § 96 MStV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https://recht.nulegal.eu/gesetze/by-MStV--alt/96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