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93 MStV (Bayern) — Transparenz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Anbieter von Medienintermediären haben zur Sicherung der Meinungsvielfalt nachfolgende Informationen leicht wahrnehmbar, unmittelbar erreichbar und ständig verfügbar zu halten:</w:t>
      </w:r>
    </w:p>
    <w:p>
      <w:r>
        <w:t xml:space="preserve">1. die Kriterien, die über den Zugang eines Inhalts zu einem Medienintermediär und über den Verbleib entscheiden,</w:t>
      </w:r>
    </w:p>
    <w:p>
      <w:r>
        <w:t xml:space="preserve">2. die zentralen Kriterien einer Aggregation, Selektion und Präsentation von Inhalten und ihre Gewichtung einschließlich Informationen über die Funktionsweise der eingesetzten Algorithmen in verständlicher Sprache.</w:t>
      </w:r>
    </w:p>
    <w:p>
      <w:r>
        <w:t xml:space="preserve">(2) Anbieter von Medienintermediären, die eine thematische Spezialisierung aufweisen, sind dazu verpflichtet, diese Spezialisierung durch die Gestaltung ihres Angebots wahrnehmbar zu machen. § 91 Abs. 2 Nr. 2 bleibt unberührt.</w:t>
      </w:r>
    </w:p>
    <w:p>
      <w:r>
        <w:t xml:space="preserve">(3) Änderungen der in Absatz 1 genannten Kriterien sowie der Ausrichtung nach Absatz 2 sind unverzüglich in derselben Weise wahrnehmbar zu machen.</w:t>
      </w:r>
    </w:p>
    <w:p>
      <w:r>
        <w:t xml:space="preserve">(4) Anbieter von Medienintermediären, die soziale Netzwerke anbieten, haben dafür Sorge zu tragen, dass Telemedien im Sinne von § 18 Abs. 3 gekennzeichnet werden.</w:t>
      </w:r>
    </w:p>
    <w:p>
      <w:r>
        <w:rPr>
          <w:color w:val="555555"/>
          <w:sz w:val="17"/>
        </w:rPr>
        <w:t xml:space="preserve">Zitiervorschlag: § 93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https://recht.nulegal.eu/gesetze/by-MStV--alt/93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93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