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MStV (Bayern) — Europäische Produktionen</w:t>
      </w:r>
    </w:p>
    <w:p>
      <w:r>
        <w:rPr>
          <w:color w:val="555555"/>
          <w:sz w:val="18"/>
        </w:rPr>
        <w:t xml:space="preserve">Medienstaatsvertrag Vom 14.–28. April 2020</w:t>
      </w:r>
    </w:p>
    <w:p>
      <w:r>
        <w:rPr>
          <w:color w:val="555555"/>
          <w:sz w:val="18"/>
        </w:rPr>
        <w:t xml:space="preserve">Landesrecht Bayern</w:t>
      </w:r>
    </w:p>
    <w:p>
      <w:r>
        <w:rPr>
          <w:color w:val="555555"/>
          <w:sz w:val="18"/>
        </w:rPr>
        <w:t xml:space="preserve">Stand: 27.08.2026 (konsolidierte Textfassung, kein amtliches Inkrafttretensdatum)</w:t>
      </w:r>
    </w:p>
    <w:p>
      <w:r>
        <w:t xml:space="preserve">Zur Darstellung der Vielfalt im deutschsprachigen und europäischen Raum und zur Förderung von europäischen Film- und Fernsehproduktionen stellen Anbieter fernsehähnlicher Telemedien sicher, dass der Anteil europäischer Werke in ihren Katalogen mindestens 30 vom Hundert entspricht. Satz 1 gilt nicht für Anbieter fernsehähnlicher Telemedien mit geringen Umsätzen oder geringen Zuschauerzahlen oder wenn dies wegen der Art oder des Themas des fernsehähnlichen Telemediums undurchführbar oder ungerechtfertigt ist. Werke nach Satz 1 sind in den Katalogen herauszustellen. Die Landesmedienanstalten regeln die Einzelheiten zur Durchführung der Sätze 1 bis 3 durch eine gemeinsame Satzung. Zur Vorbereitung der Berichterstattung nach Artikel 13 Abs. 4 der Richtlinie 2010/13/EU gilt § 15 Abs. 4 entsprechend.</w:t>
      </w:r>
    </w:p>
    <w:p>
      <w:r>
        <w:rPr>
          <w:color w:val="555555"/>
          <w:sz w:val="17"/>
        </w:rPr>
        <w:t xml:space="preserve">Zitiervorschlag: § 77 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https://recht.nulegal.eu/gesetze/by-MStV--alt/77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