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68 MStV (Bayern) — Sendezeit für Dritte</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Den Evangelischen Kirchen, der Katholischen Kirche und den Jüdischen Gemeinden sind auf Wunsch angemessene Sendezeiten zur Übertragung religiöser Sendungen einzuräumen; die Veranstalter können die Erstattung ihrer Selbstkosten verlangen.</w:t>
      </w:r>
    </w:p>
    <w:p>
      <w:r>
        <w:t xml:space="preserve">(2) Parteien ist während ihrer Beteiligung an den Wahlen zum Deutschen Bundestag gegen Erstattung der Selbstkosten angemessene Sendezeit einzuräumen, wenn mindestens eine Landesliste für sie zugelassen wurde. Ferner haben Parteien und sonstige politische Vereinigungen während ihrer Beteiligung an den Wahlen der Abgeordneten aus der Bundesrepublik Deutschland für das Europäische Parlament gegen Erstattung der Selbstkosten Anspruch auf angemessene Sendezeit, wenn mindestens ein Wahlvorschlag für sie zugelassen wurde.</w:t>
      </w:r>
    </w:p>
    <w:p>
      <w:r>
        <w:rPr>
          <w:color w:val="555555"/>
          <w:sz w:val="17"/>
        </w:rPr>
        <w:t xml:space="preserve">Zitiervorschlag: § 68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68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