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MStV (Bayern) — Vielfaltssichernde Maßnahmen</w:t>
      </w:r>
    </w:p>
    <w:p>
      <w:r>
        <w:rPr>
          <w:color w:val="555555"/>
          <w:sz w:val="18"/>
        </w:rPr>
        <w:t xml:space="preserve">Medienstaatsvertrag Vom 14.–28. April 2020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Stellen die vorgenannten Vorschriften auf vielfaltssichernde Maßnahmen bei einem Veranstalter oder Unternehmen ab, gelten als solche Maßnahmen:</w:t>
      </w:r>
    </w:p>
    <w:p>
      <w:r>
        <w:t xml:space="preserve">1. die Einräumung von Sendezeit für unabhängige Dritte (§ 65),</w:t>
      </w:r>
    </w:p>
    <w:p>
      <w:r>
        <w:t xml:space="preserve">2. die Einrichtung eines Programmbeirats (§ 66).</w:t>
      </w:r>
    </w:p>
    <w:p>
      <w:r>
        <w:rPr>
          <w:color w:val="555555"/>
          <w:sz w:val="17"/>
        </w:rPr>
        <w:t xml:space="preserve">Zitiervorschlag: § 64 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https://recht.nulegal.eu/gesetze/by-MStV--alt/64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