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MStV (Bayern) — Änderung der Werbung</w:t>
      </w:r>
    </w:p>
    <w:p>
      <w:r>
        <w:rPr>
          <w:color w:val="555555"/>
          <w:sz w:val="18"/>
        </w:rPr>
        <w:t xml:space="preserve">Medienstaatsvertrag Vom 14.–28. April 2020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Länder können Änderungen der Gesamtdauer der Werbung, der tageszeitlichen Begrenzung der Werbung und ihrer Beschränkung auf Werktage im öffentlich-rechtlichen Rundfunk vereinbaren.</w:t>
      </w:r>
    </w:p>
    <w:p>
      <w:r>
        <w:rPr>
          <w:color w:val="555555"/>
          <w:sz w:val="17"/>
        </w:rPr>
        <w:t xml:space="preserve">Zitiervorschlag: § 39 MStV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https://recht.nulegal.eu/gesetze/by-MStV--alt/39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