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36 MStV (Bayern) — Berichterstattung der Rechnungshöfe</w:t>
      </w:r>
    </w:p>
    <w:p>
      <w:r>
        <w:rPr>
          <w:color w:val="555555"/>
          <w:sz w:val="18"/>
        </w:rPr>
        <w:t xml:space="preserve">Medienstaatsvertrag Vom 14.–28. April 2020</w:t>
      </w:r>
    </w:p>
    <w:p>
      <w:r>
        <w:rPr>
          <w:color w:val="555555"/>
          <w:sz w:val="18"/>
        </w:rPr>
        <w:t xml:space="preserve">Landesrecht Bayern</w:t>
      </w:r>
    </w:p>
    <w:p>
      <w:r>
        <w:rPr>
          <w:color w:val="555555"/>
          <w:sz w:val="18"/>
        </w:rPr>
        <w:t xml:space="preserve">Stand: 27.08.2026 (konsolidierte Textfassung, kein amtliches Inkrafttretensdatum)</w:t>
      </w:r>
    </w:p>
    <w:p>
      <w:r>
        <w:t xml:space="preserve">Der für die Durchführung der Prüfung zuständige Rechnungshof teilt das Ergebnis der Prüfung einer Landesrundfunkanstalt, des ZDF oder des Deutschlandradios einschließlich deren Beteiligungsunternehmen dem jeweils zuständigen Intendanten, den jeweils zuständigen Aufsichtsgremien der Rundfunkanstalt und der Geschäftsführung des geprüften Beteiligungsunternehmens sowie der KEF mit. Er gibt dem Intendanten der jeweiligen Rundfunkanstalt und der Geschäftsführung des Beteiligungsunternehmens Gelegenheit zur Stellungnahme zu dem Ergebnis der Prüfung und berücksichtigt die Stellungnahmen. Den auf dieser Grundlage erstellten abschließenden Bericht über das Ergebnis der Prüfung teilt der zuständige Rechnungshof den Landesparlamenten und den Landesregierungen der die Rundfunkanstalt tragenden Länder sowie der KEF mit und veröffentlicht ihn anschließend. Dabei hat der Rechnungshof darauf zu achten, dass die Wettbewerbsfähigkeit des geprüften Beteiligungsunternehmens nicht beeinträchtigt wird und insbesondere Betriebs- und Geschäftsgeheimnisse gewahrt werden.</w:t>
      </w:r>
    </w:p>
    <w:p>
      <w:r>
        <w:rPr>
          <w:color w:val="555555"/>
          <w:sz w:val="17"/>
        </w:rPr>
        <w:t xml:space="preserve">Zitiervorschlag: § 36 MStV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https://recht.nulegal.eu/gesetze/by-MStV--alt/36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36 MStV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