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30d MStV (Bayern) — Versorgungsauftrag</w:t>
      </w:r>
    </w:p>
    <w:p>
      <w:r>
        <w:rPr>
          <w:color w:val="555555"/>
          <w:sz w:val="18"/>
        </w:rPr>
        <w:t xml:space="preserve">Medienstaatsvertrag Vom 14.–28. April 2020</w:t>
      </w:r>
    </w:p>
    <w:p>
      <w:r>
        <w:rPr>
          <w:color w:val="555555"/>
          <w:sz w:val="18"/>
        </w:rPr>
        <w:t xml:space="preserve">Landesrecht Bayern</w:t>
      </w:r>
    </w:p>
    <w:p>
      <w:r>
        <w:rPr>
          <w:color w:val="555555"/>
          <w:sz w:val="18"/>
        </w:rPr>
        <w:t xml:space="preserve">Stand: 27.08.2026 (konsolidierte Textfassung, kein amtliches Inkrafttretensdatum)</w:t>
      </w:r>
    </w:p>
    <w:p>
      <w:r>
        <w:t xml:space="preserve">(1) Die in der ARD zusammengeschlossenen Landesrundfunkanstalten, das ZDF und das Deutschlandradio kommen ihrem gesetzlichen Auftrag durch Nutzung geeigneter Übertragungswege nach. Bei der Auswahl des Übertragungswegs sind die Grundsätze der Wirtschaftlichkeit und Sparsamkeit zu beachten. Die analoge Verbreitung bisher ausschließlich digital verbreiteter Programme ist unzulässig.</w:t>
      </w:r>
    </w:p>
    <w:p>
      <w:r>
        <w:t xml:space="preserve">(2) Zur Erfüllung ihres Versorgungsauftrags sollen die in der ARD zusammengeschlossenen Landesrundfunkanstalten, das ZDF und das Deutschlandradio mit privaten Veranstaltern von Rundfunkprogrammen nach § 84 Abs. 3 S. 2 sowie mit diesen verbundenen Unternehmen zusammenarbeiten. Kooperationen können insbesondere eine Verlinkung (Embedding) oder sonstige Vernetzung öffentlich-rechtlicher Inhalte oder Angebote, vereinfachte Verfahren der Zurverfügungstellung öffentlich-rechtlicher Inhalte oder die gemeinsame Nutzung von Infrastrukturen beinhalten.</w:t>
      </w:r>
    </w:p>
    <w:p>
      <w:r>
        <w:rPr>
          <w:color w:val="555555"/>
          <w:sz w:val="17"/>
        </w:rPr>
        <w:t xml:space="preserve">Zitiervorschlag: § 30d MStV (Bayern)</w:t>
      </w:r>
    </w:p>
    <w:p>
      <w:r>
        <w:rPr>
          <w:color w:val="555555"/>
          <w:sz w:val="17"/>
        </w:rPr>
        <w:t xml:space="preserve">Quelle: bayernrecht, abgerufen 27.08.2026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https://recht.nulegal.eu/gesetze/by-MStV--alt/30d</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