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JMStV (Bayern) — Notifizierung</w:t>
      </w:r>
    </w:p>
    <w:p>
      <w:r>
        <w:rPr>
          <w:color w:val="555555"/>
          <w:sz w:val="18"/>
        </w:rPr>
        <w:t xml:space="preserve">Jugendmedienschutz-Staatsvertrag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Änderungen dieses Staatsvertrages unterliegen der Notifizierungspflicht gemäß der Richtlinie 2015/1535 des Europäischen Parlaments und des Rates vom 9. September 2015 über ein Informationsverfahren auf dem Gebiet der technischen Vorschriften und der Vorschriften für die Dienste der Informationsgesellschaft.</w:t>
      </w:r>
    </w:p>
    <w:p>
      <w:r>
        <w:rPr>
          <w:color w:val="555555"/>
          <w:sz w:val="17"/>
        </w:rPr>
        <w:t xml:space="preserve">Zitiervorschlag: § 28 JMStV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https://recht.nulegal.eu/gesetze/by-JMStV--alt/28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