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JMStV (Bayern) — Strafbestimmung</w:t>
      </w:r>
    </w:p>
    <w:p>
      <w:r>
        <w:rPr>
          <w:color w:val="555555"/>
          <w:sz w:val="18"/>
        </w:rPr>
        <w:t xml:space="preserve">Jugendmedienschutz-Staatsvertrag</w:t>
      </w:r>
    </w:p>
    <w:p>
      <w:r>
        <w:rPr>
          <w:color w:val="555555"/>
          <w:sz w:val="18"/>
        </w:rPr>
        <w:t xml:space="preserve">Landesrecht Bayern</w:t>
      </w:r>
    </w:p>
    <w:p>
      <w:r>
        <w:rPr>
          <w:color w:val="555555"/>
          <w:sz w:val="18"/>
        </w:rPr>
        <w:t xml:space="preserve">Stand: 27.08.2026 (konsolidierte Textfassung, kein amtliches Inkrafttretensdatum)</w:t>
      </w:r>
    </w:p>
    <w:p>
      <w:r>
        <w:t xml:space="preserve">Mit Freiheitsstrafe bis zu einem Jahr oder mit Geldstrafe wird bestraft, wer entgegen § 4 Abs. 2 Satz 1 Nr. 3 und Satz 2 Angebote verbreitet oder zugänglich macht, die offensichtlich geeignet sind, die Entwicklung von Kindern oder Jugendlichen oder ihre Erziehung zu einer eigenverantwortlichen und gemeinschaftsfähigen Persönlichkeit unter Berücksichtigung der besonderen Wirkungsform des Verbreitungsmediums schwer zu gefährden. Handelt der Täter fahrlässig, so ist die Freiheitsstrafe bis zu 6 Monate oder die Geldstrafe bis zu 180 Tagessätze.</w:t>
      </w:r>
    </w:p>
    <w:p>
      <w:r>
        <w:rPr>
          <w:color w:val="555555"/>
          <w:sz w:val="17"/>
        </w:rPr>
        <w:t xml:space="preserve">Zitiervorschlag: § 23 JMStV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https://recht.nulegal.eu/gesetze/by-JMStV--alt/23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