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JMStV (Bayern) — Revision zum Bundesverwaltungsgericht</w:t>
      </w:r>
    </w:p>
    <w:p>
      <w:r>
        <w:rPr>
          <w:color w:val="555555"/>
          <w:sz w:val="18"/>
        </w:rPr>
        <w:t xml:space="preserve">Jugendmedienschutz-Staatsvertrag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In einem gerichtlichen Verfahren kann die Revision zum Bundesverwaltungsgericht auch darauf gestützt werden, dass das angefochtene Urteil auf der Verletzung der Bestimmungen dieses Staatsvertrages beruhe.</w:t>
      </w:r>
    </w:p>
    <w:p>
      <w:r>
        <w:rPr>
          <w:color w:val="555555"/>
          <w:sz w:val="17"/>
        </w:rPr>
        <w:t xml:space="preserve">Zitiervorschlag: § 22 JMStV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https://recht.nulegal.eu/gesetze/by-JMStV--alt/22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