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JMStV (Bayern) — Zweck des Staatsvertrages</w:t>
      </w:r>
    </w:p>
    <w:p>
      <w:r>
        <w:rPr>
          <w:color w:val="555555"/>
          <w:sz w:val="18"/>
        </w:rPr>
        <w:t xml:space="preserve">Jugendmedienschutz-Staatsvertrag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Zweck des Staatsvertrages ist der einheitliche Schutz der Kinder und Jugendlichen vor Angeboten in elektronischen Informations- und Kommunikationsmedien, die deren Entwicklung oder Erziehung beeinträchtigen oder gefährden oder Risiken für deren persönliche Integrität aufweisen, sowie der Schutz vor solchen Angeboten in elektronischen Informations- und Kommunikationsmedien, die die Menschenwürde oder sonstige durch das Strafgesetzbuch geschützte Rechtsgüter verletzen.</w:t>
      </w:r>
    </w:p>
    <w:p>
      <w:r>
        <w:rPr>
          <w:color w:val="555555"/>
          <w:sz w:val="17"/>
        </w:rPr>
        <w:t xml:space="preserve">Zitiervorschlag: § 1 JMStV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https://recht.nulegal.eu/gesetze/by-JMStV--alt/1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