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83 GVO (Bayern) — Anforderung an die Kostenrechnung</w:t>
      </w:r>
    </w:p>
    <w:p>
      <w:r>
        <w:rPr>
          <w:color w:val="555555"/>
          <w:sz w:val="18"/>
        </w:rPr>
        <w:t xml:space="preserve">Gerichtsvollzieherordnung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Kostenrechnung des Gerichtsvollziehers hat die sich aus § 14 Absatz 4, § 14a Absatz 1 UStG ergebenden Angaben zu enthalten.</w:t>
      </w:r>
    </w:p>
    <w:p>
      <w:r>
        <w:t xml:space="preserve">(2) Die nach § 14 Absatz 4 Satz 1 Nummer 4 UStG erforderliche Rechnungsnummer wird durch die Geschäftsnummer in Verbindung mit der laufenden Nummer der Rechnung in dem jeweiligen Verfahren und einen Zusatz nach landesspezifischer Vorgabe gebildet.</w:t>
      </w:r>
    </w:p>
    <w:p>
      <w:r>
        <w:rPr>
          <w:color w:val="555555"/>
          <w:sz w:val="17"/>
        </w:rPr>
        <w:t xml:space="preserve">Zitiervorschlag: § 83 GVO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https://recht.nulegal.eu/gesetze/by-GerVO--alt/83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83 GVO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