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GVO (Bayern) — Auslagenvorschuss/Auslagenabschlag</w:t>
      </w:r>
    </w:p>
    <w:p>
      <w:r>
        <w:rPr>
          <w:color w:val="555555"/>
          <w:sz w:val="18"/>
        </w:rPr>
        <w:t xml:space="preserve">Gerichtsvollzieherordnung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Dienstbehörde ist ermächtigt, dem Gerichtsvollzieher auf die in den Spalten 12 und 13 des Kassenbuchs II einzustellenden Auslagen einen angemessenen Vorschuss/Abschlag zu gewähren. Für die Bemessung des Vorschusses/Abschlages bieten die Durchschnittsbeträge der vorangegangenen beiden Vierteljahre einen Anhalt, sofern nicht im Einzelfall durch nachweislich besonders hohe Auslagen ein höherer Betrag gerechtfertigt ist. Für eine Einzelsache soll ein Vorschuss/Abschlag nur dann gewährt werden, wenn die Durchführung eines Auftrages voraussichtlich mehr als 10 Euro Auslagen erfordert.</w:t>
      </w:r>
    </w:p>
    <w:p>
      <w:r>
        <w:rPr>
          <w:color w:val="555555"/>
          <w:sz w:val="17"/>
        </w:rPr>
        <w:t xml:space="preserve">Zitiervorschlag: § 8 GVO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https://recht.nulegal.eu/gesetze/by-GerVO--alt/8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