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72 GVO (Bayern) — Ordentliche Geschäftsprüfung</w:t>
      </w:r>
    </w:p>
    <w:p>
      <w:r>
        <w:rPr>
          <w:color w:val="555555"/>
          <w:sz w:val="18"/>
        </w:rPr>
        <w:t xml:space="preserve">Gerichtsvollzieherordnung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aufsichtführende Richter des Amtsgerichts oder ein besonders bestimmter Beamter des gehobenen Justizdienstes überprüft die Geschäftsführung des Gerichtsvollziehers vierteljährlich. Die Prüfungen, die auch ohne Ankündigung zulässig sind, können bei allen oder bei einzelnen Gerichtsvollziehern auch in kürzeren Zeitabständen durchgeführt werden.</w:t>
      </w:r>
    </w:p>
    <w:p>
      <w:r>
        <w:t xml:space="preserve">(2) Die ordentliche Geschäftsprüfung kann unterbleiben, wenn in dem maßgebenden Zeitraum (Absatz 1) eine außerordentliche Prüfung (§ 79 Absatz 1) stattfindet.</w:t>
      </w:r>
    </w:p>
    <w:p>
      <w:r>
        <w:rPr>
          <w:color w:val="555555"/>
          <w:sz w:val="17"/>
        </w:rPr>
        <w:t xml:space="preserve">Zitiervorschlag: § 72 GVO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https://recht.nulegal.eu/gesetze/by-GerVO--alt/72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72 GVO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