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7 GVO (Bayern) — Entschädigung und Vergütungen</w:t>
      </w:r>
    </w:p>
    <w:p>
      <w:r>
        <w:rPr>
          <w:color w:val="555555"/>
          <w:sz w:val="18"/>
        </w:rPr>
        <w:t xml:space="preserve">Gerichtsvollzieherordnung</w:t>
      </w:r>
    </w:p>
    <w:p>
      <w:r>
        <w:rPr>
          <w:color w:val="555555"/>
          <w:sz w:val="18"/>
        </w:rPr>
        <w:t xml:space="preserve">Landesrecht Bayern</w:t>
      </w:r>
    </w:p>
    <w:p>
      <w:r>
        <w:rPr>
          <w:color w:val="555555"/>
          <w:sz w:val="18"/>
        </w:rPr>
        <w:t xml:space="preserve">Stand: 25.08.2026 (konsolidierte Textfassung, kein amtliches Inkrafttretensdatum)</w:t>
      </w:r>
    </w:p>
    <w:p>
      <w:r>
        <w:t xml:space="preserve">(1) Der Gerichtsvollzieher hat die ihm zustehenden Gebührenanteile bei den Abrechnungen mit der für ihn nach Landesrecht zuständigen Stelle (zum Beispiel Kasse) vorläufig zu errechnen und einzubehalten. Er darf über diese erst nach Ablieferung der Gebühren verfügen, die der Landeskasse verbleiben (§ 54 Absatz 2 Satz 2).</w:t>
      </w:r>
    </w:p>
    <w:p>
      <w:r>
        <w:t xml:space="preserve">(2) Als Entschädigung für den Aufwand bei der Erledigung der Aufträge werden dem Gerichtsvollzieher die von ihm vereinnahmten Auslagen gemäß Nummer 701 bis 716 des Kostenverzeichnisses zum Gesetz über Kosten der Gerichtsvollzieher (KV-GvKostG) überlassen. Sofern für Auslagen in Eingangsrechnungen ein Vorsteuerabzug erfolgt, erhält der Gerichtsvollzieher auch die Auslagen nach Nummer 717 KV-GvKostG als Entschädigung für die hierauf gezahlte Umsatzsteuer.</w:t>
      </w:r>
    </w:p>
    <w:p>
      <w:r>
        <w:t xml:space="preserve">(3) Können die Auslagen nach Absatz 2 ohne Verschulden des Gerichtsvollziehers nicht eingezogen werden, so sind sie ihm mit Ausnahme der Wegegelder (Nummer 711 KV-GvKostG) und der Reisekosten (Nummer 712 KV-GvKostG) aus der Landeskasse zu ersetzen. Dies gilt auch für die Ausbuchung von Kleinbeträgen und bei einem Erlass der Gerichtsvollzieherkosten. Wenn Prozess- oder Verfahrenskostenhilfe bewilligt ist, und bei Aufträgen des Gerichts werden darüber hinaus die sonst bei den Kostenschuldnern zu erhebenden Wegegelder und Reisekosten</w:t>
      </w:r>
    </w:p>
    <w:p>
      <w:r>
        <w:t xml:space="preserve">1. in den Fällen der Nummer 712 KV-GvKostG in voller Höhe,</w:t>
      </w:r>
    </w:p>
    <w:p>
      <w:r>
        <w:t xml:space="preserve">2. in den übrigen Fällen zur Hälfte</w:t>
      </w:r>
    </w:p>
    <w:p>
      <w:r>
        <w:t xml:space="preserve">ersetzt, und zwar ohne Rücksicht darauf, ob ein Gericht des eigenen oder ein Gericht eines anderen Landes die Prozess- oder Verfahrenskostenhilfe bewilligt oder den Auftrag erteilt hat. Aufträge der Strafvollstreckungsbehörden und der Gerichtskassen sind nicht als Aufträge des Gerichts anzusehen.</w:t>
      </w:r>
    </w:p>
    <w:p>
      <w:r>
        <w:t xml:space="preserve">(4) Die Gebührenanteile und Entschädigungen sowie die aus der Landeskasse zu ersetzenden Beträge werden nach § 56 festgesetzt.</w:t>
      </w:r>
    </w:p>
    <w:p>
      <w:r>
        <w:t xml:space="preserve">(5) Landesrechtliche Bestimmungen über die Abfindung der Gerichtsvollzieher bei Dienstreisen und Dienstgängen in Vollstreckungsangelegenheiten sowie über die Festsetzung von Gebühren und Entschädigung im Sinne der Absätze 1 bis 3 bleiben unberührt.</w:t>
      </w:r>
    </w:p>
    <w:p>
      <w:r>
        <w:rPr>
          <w:color w:val="555555"/>
          <w:sz w:val="17"/>
        </w:rPr>
        <w:t xml:space="preserve">Zitiervorschlag: § 7 GVO (Bayern)</w:t>
      </w:r>
    </w:p>
    <w:p>
      <w:r>
        <w:rPr>
          <w:color w:val="555555"/>
          <w:sz w:val="17"/>
        </w:rPr>
        <w:t xml:space="preserve">Quelle: bayernrecht, abgerufen 25.08.2026</w:t>
      </w:r>
    </w:p>
    <w:p>
      <w:r>
        <w:rPr>
          <w:color w:val="555555"/>
          <w:sz w:val="17"/>
        </w:rPr>
        <w:t xml:space="preserve">Nicht-amtliche Lesefassung — verbindlich ist das Bayerische Gesetz- und Verordnungsblatt (verkuendung-bayern.de: https://www.verkuendung-bayern.de)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https://recht.nulegal.eu/gesetze/by-GerVO--alt/7</w:t>
      </w:r>
    </w:p>
    <w:p>
      <w:r>
        <w:rPr>
          <w:color w:val="767676"/>
          <w:sz w:val="15"/>
        </w:rPr>
        <w:t xml:space="preserve">nu:legal · recht.nulegal.eu · Nicht-amtliche Lesefassung. Amtliche Fassung: verkuendung-bayern.de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