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69 GVO (Bayern) — Aktenvermerk; Auslagen</w:t>
      </w:r>
    </w:p>
    <w:p>
      <w:r>
        <w:rPr>
          <w:color w:val="555555"/>
          <w:sz w:val="18"/>
        </w:rPr>
        <w:t xml:space="preserve">Gerichtsvollzieherordnung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Gerichtsvollzieher muss die Einhaltung der Pflichten, die ihm nach den vorstehenden Bestimmungen obliegen, aktenkundig machen.</w:t>
      </w:r>
    </w:p>
    <w:p>
      <w:r>
        <w:t xml:space="preserve">(2) Eine Dokumentenpauschale und Entgelte für Postdienstleistungen mit Ausnahme der Entgelte nach Nummer 701 KV-GvKostG (Zustellung) dürfen für die in diesem Abschnitt genannten Benachrichtigungen und Abschriften nicht berechnet werden.</w:t>
      </w:r>
    </w:p>
    <w:p>
      <w:r>
        <w:rPr>
          <w:color w:val="555555"/>
          <w:sz w:val="17"/>
        </w:rPr>
        <w:t xml:space="preserve">Zitiervorschlag: § 69 GVO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https://recht.nulegal.eu/gesetze/by-GerVO--alt/69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69 GVO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