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GVO (Bayern) — Maßnahmen bei Beendigung und Unterbrechung der Beschäftigung</w:t>
      </w:r>
    </w:p>
    <w:p>
      <w:r>
        <w:rPr>
          <w:color w:val="555555"/>
          <w:sz w:val="18"/>
        </w:rPr>
        <w:t xml:space="preserve">Gerichtsvollzieherordnung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Endet die Beschäftigung des Gerichtsvollziehers bei der Dienstbehörde zum Beispiel durch Tod, Versetzung, Eintritt in den Ruhestand, Ablauf des Dienstleistungsauftrags, vorläufige Dienstenthebung oder Entlassung, so veranlasst die Dienstbehörde, dass</w:t>
      </w:r>
    </w:p>
    <w:p>
      <w:r>
        <w:t xml:space="preserve">1. die im Besitz des Gerichtsvollziehers befindlichen Dienstgegenstände (zum Beispiel Dienstsiegel (Dienststempel), Geschäftsbücher und Akten) sowie der Dienstausweis an sie abgeliefert werden und das Schild (§ 30 Absatz 2 Satz 1) entfernt wird,</w:t>
      </w:r>
    </w:p>
    <w:p>
      <w:r>
        <w:t xml:space="preserve">2. die aus dienstlichem Anlass der Verfügung des Gerichtsvollziehers unterliegenden Gegenstände (zum Beispiel Geld, Giroguthaben, Pfandstücke, Schriftstücke) sichergestellt werden,</w:t>
      </w:r>
    </w:p>
    <w:p>
      <w:r>
        <w:t xml:space="preserve">3. ihr eine vollständige Datensicherung des vom Gerichtsvollzieher dienstlich genutzten IT-Systems (insbesondere bestehend aus Dienstregistern und Kassenbüchern) zur Verfügung gestellt wird und sämtliche elektronisch gespeicherten Daten des Gerichtsvollziehers gelöscht werden,</w:t>
      </w:r>
    </w:p>
    <w:p>
      <w:r>
        <w:t xml:space="preserve">4. das Ende der Beschäftigung unmittelbar dem zentralen Vollstreckungsgericht nach § 882h der Zivilprozessordnung (ZPO) mitgeteilt wird,</w:t>
      </w:r>
    </w:p>
    <w:p>
      <w:r>
        <w:t xml:space="preserve">5. EGVP-Postfächer oder andere nach dem OSCI-Standard eingerichtete Postfächer sowie ausschließlich dienstlich genutzte E-Mail-Postfächer, sofern diese im Falle einer Versetzung nicht weiterhin dienstlich benötigt werden, gelöscht und die bis zur Löschung eingegangenen elektronischen Nachrichten und Dokumente dem Vertreter oder Nachfolger zugeleitet werden; hierzu darf die Dienstbehörde die gemäß § 30a Absatz 4 Satz 2 und Absatz 5 hinterlegten Zugangsdaten nutzen und in den Geschäftszimmern des Gerichtsvollziehers dessen IT-Systeme nutzen,</w:t>
      </w:r>
    </w:p>
    <w:p>
      <w:r>
        <w:t xml:space="preserve">6. das Bundeszentralamt für Steuern, das Kraftfahrtbundesamt, die Träger der gesetzlichen Rentenversicherung, die berufsständischen Versorgungseinrichtungen, das Registerportal der Länder und die nach dem Umsatzsteuergesetz (UStG) zuständige Organisationseinheit über das Ende der Beschäftigung unterrichtet werden,</w:t>
      </w:r>
    </w:p>
    <w:p>
      <w:r>
        <w:t xml:space="preserve">7. die Aussteller der Signaturkarten über den Wegfall der bestätigten Eigenschaft (Attribut) als Gerichtsvollzieher in Kenntnis gesetzt werden.</w:t>
      </w:r>
    </w:p>
    <w:p>
      <w:r>
        <w:t xml:space="preserve">(2) Wird die Beschäftigung des Gerichtsvollziehers vorübergehend unterbrochen, zum Beispiel durch Urlaub oder Krankheit, so trifft die Dienstbehörde die erforderlichen Anordnungen unter entsprechender Anwendung der Vorschriften in Absatz 1. Sie befindet insbesondere darüber, ob und inwieweit dem verhinderten Gerichtsvollzieher noch die Abwicklung laufender Dienstgeschäfte zu überlassen ist.</w:t>
      </w:r>
    </w:p>
    <w:p>
      <w:r>
        <w:rPr>
          <w:color w:val="555555"/>
          <w:sz w:val="17"/>
        </w:rPr>
        <w:t xml:space="preserve">Zitiervorschlag: § 6 GVO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https://recht.nulegal.eu/gesetze/by-GerVO--alt/6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