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48 GVO (Bayern) — Namenverzeichnis</w:t>
      </w:r>
    </w:p>
    <w:p>
      <w:r>
        <w:rPr>
          <w:color w:val="555555"/>
          <w:sz w:val="18"/>
        </w:rPr>
        <w:t xml:space="preserve">Gerichtsvollzieherordnung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dem Namenverzeichnis sind alle dem Gerichtsvollzieher zugegangenen, im Dienstregister II nachgewiesenen Zwangsvollstreckungsaufträge nach dem Namen der Schuldner in der Buchstabenfolge geordnet unter Hinweis auf die Eintragung im Dienstregister II anzuführen.</w:t>
      </w:r>
    </w:p>
    <w:p>
      <w:r>
        <w:t xml:space="preserve">(2) Die Dienstbehörde kann anordnen, dass die Führung des Namenverzeichnisses unterbleibt, wenn hiervon keine Unzuträglichkeiten zu besorgen sind.</w:t>
      </w:r>
    </w:p>
    <w:p>
      <w:r>
        <w:rPr>
          <w:color w:val="555555"/>
          <w:sz w:val="17"/>
        </w:rPr>
        <w:t xml:space="preserve">Zitiervorschlag: § 48 GVO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https://recht.nulegal.eu/gesetze/by-GerVO--alt/48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48 GVO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