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GKL-StV (Bayern) — Staatsaufsicht</w:t>
      </w:r>
    </w:p>
    <w:p>
      <w:r>
        <w:rPr>
          <w:color w:val="555555"/>
          <w:sz w:val="18"/>
        </w:rPr>
        <w:t xml:space="preserve">Staatsvertrag über die Gründung der GKL Gemeinsame Klassenlotterie der Länder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Die Anstalt unterliegt der Staatsaufsicht. Die Staatsaufsicht ist Rechtsaufsicht. Sie wird im Benehmen mit den anderen Vertragsländern von der Finanzbehörde der Freien und Hansestadt Hamburg ausgeübt.</w:t>
      </w:r>
    </w:p>
    <w:p>
      <w:r>
        <w:rPr>
          <w:color w:val="555555"/>
          <w:sz w:val="17"/>
        </w:rPr>
        <w:t xml:space="preserve">Zitiervorschlag: § 7 GKL-StV (Bayern)</w:t>
      </w:r>
    </w:p>
    <w:p>
      <w:r>
        <w:rPr>
          <w:color w:val="555555"/>
          <w:sz w:val="17"/>
        </w:rPr>
        <w:t xml:space="preserve">Quelle: bayernrecht, abgerufen 27.08.2026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https://recht.nulegal.eu/gesetze/by-GKLStV--2011/7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