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GKL-StV (Bayern) — Vorstand</w:t>
      </w:r>
    </w:p>
    <w:p>
      <w:r>
        <w:rPr>
          <w:color w:val="555555"/>
          <w:sz w:val="18"/>
        </w:rPr>
        <w:t xml:space="preserve">Staatsvertrag über die Gründung der GKL Gemeinsame Klassenlotterie der Länder</w:t>
      </w:r>
    </w:p>
    <w:p>
      <w:r>
        <w:rPr>
          <w:color w:val="555555"/>
          <w:sz w:val="18"/>
        </w:rPr>
        <w:t xml:space="preserve">Landesrecht Bayern</w:t>
      </w:r>
    </w:p>
    <w:p>
      <w:r>
        <w:rPr>
          <w:color w:val="555555"/>
          <w:sz w:val="18"/>
        </w:rPr>
        <w:t xml:space="preserve">Stand: 27.08.2026 (konsolidierte Textfassung, kein amtliches Inkrafttretensdatum)</w:t>
      </w:r>
    </w:p>
    <w:p>
      <w:r>
        <w:t xml:space="preserve">(1) Die Anstalt wird von einem Vorstand geleitet, der die Geschäfte der Anstalt in eigener Verantwortung nach kaufmännischen Grundsätzen unter Beachtung der Sorgfalt eines ordentlichen und gewissenhaften Geschäftsleiters führt. Er ist an die Beschlüsse der Gewährträgerversammlung gebunden. Der Vorstand hat der Gewährträgerversammlung nach Maßgabe der Satzung regelmäßig über die beabsichtigte Geschäftspolitik und den Gang der Geschäfte zu berichten. Er vertritt die Anstalt gerichtlich und außergerichtlich; § 4 Abs. 3 Satz 2 bleibt unberührt.</w:t>
      </w:r>
    </w:p>
    <w:p>
      <w:r>
        <w:t xml:space="preserve">(2) § 93 Abs. 1, Abs. 2 Satz 1 und 2 sowie Abs. 6 des Aktiengesetzes ist in Bezug auf den Vorstand entsprechend anzuwenden.</w:t>
      </w:r>
    </w:p>
    <w:p>
      <w:r>
        <w:rPr>
          <w:color w:val="555555"/>
          <w:sz w:val="17"/>
        </w:rPr>
        <w:t xml:space="preserve">Zitiervorschlag: § 5 GKL-StV (Bayern)</w:t>
      </w:r>
    </w:p>
    <w:p>
      <w:r>
        <w:rPr>
          <w:color w:val="555555"/>
          <w:sz w:val="17"/>
        </w:rPr>
        <w:t xml:space="preserve">Quelle: bayernrecht, abgerufen 27.08.2026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https://recht.nulegal.eu/gesetze/by-GKLStV--2011/5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