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GKL-StV (Bayern) — Organe</w:t>
      </w:r>
    </w:p>
    <w:p>
      <w:r>
        <w:rPr>
          <w:color w:val="555555"/>
          <w:sz w:val="18"/>
        </w:rPr>
        <w:t xml:space="preserve">Staatsvertrag über die Gründung der GKL Gemeinsame Klassenlotterie der Länder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27.08.2026 (konsolidierte Textfassung, kein amtliches Inkrafttretensdatum)</w:t>
      </w:r>
    </w:p>
    <w:p>
      <w:r>
        <w:t xml:space="preserve">Die Organe der Anstalt sind</w:t>
      </w:r>
    </w:p>
    <w:p>
      <w:r>
        <w:t xml:space="preserve">1. die Versammlung der Trägerländer,</w:t>
      </w:r>
    </w:p>
    <w:p>
      <w:r>
        <w:t xml:space="preserve">2. der Vorstand.</w:t>
      </w:r>
    </w:p>
    <w:p>
      <w:r>
        <w:rPr>
          <w:color w:val="555555"/>
          <w:sz w:val="17"/>
        </w:rPr>
        <w:t xml:space="preserve">Zitiervorschlag: § 3 GKL-StV (Bayern)</w:t>
      </w:r>
    </w:p>
    <w:p>
      <w:r>
        <w:rPr>
          <w:color w:val="555555"/>
          <w:sz w:val="17"/>
        </w:rPr>
        <w:t xml:space="preserve">Quelle: bayernrecht, abgerufen 27.08.2026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https://recht.nulegal.eu/gesetze/by-GKLStV--2011/3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