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8d ZustV (Bayern) — Gerichtliche Zuständigkeit in Asylsachen</w:t>
      </w:r>
    </w:p>
    <w:p>
      <w:r>
        <w:rPr>
          <w:color w:val="555555"/>
          <w:sz w:val="18"/>
        </w:rPr>
        <w:t xml:space="preserve">Zuständigkeitsverordnung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Zuständig für Streitigkeiten nach dem Asylgesetz (AsylG) sind hinsichtlich der Herkunftsstaaten</w:t>
      </w:r>
    </w:p>
    <w:p>
      <w:r>
        <w:t xml:space="preserve">1. Angola, Aserbaidschan, Demokratische Republik Kongo, Kongo, Sierra Leone und Uganda das Verwaltungsgericht Regensburg für die Bezirke aller bayerischen Verwaltungsgerichte,</w:t>
      </w:r>
    </w:p>
    <w:p>
      <w:r>
        <w:t xml:space="preserve">2. Ägypten, Jordanien und Peru das Verwaltungsgericht Bayreuth für die Bezirke aller bayerischen Verwaltungsgerichte,</w:t>
      </w:r>
    </w:p>
    <w:p>
      <w:r>
        <w:t xml:space="preserve">3. Brasilien das Verwaltungsgericht München für die Bezirke aller bayerischen Verwaltungsgerichte,</w:t>
      </w:r>
    </w:p>
    <w:p>
      <w:r>
        <w:t xml:space="preserve">4. Elfenbeinküste das Verwaltungsgericht Würzburg für die Bezirke aller bayerischen Verwaltungsgerichte,</w:t>
      </w:r>
    </w:p>
    <w:p>
      <w:r>
        <w:t xml:space="preserve">5. Gambia, Jemen und Nigeria das Verwaltungsgericht Augsburg für die Bezirke aller bayerischen Verwaltungsgerichte,</w:t>
      </w:r>
    </w:p>
    <w:p>
      <w:r>
        <w:t xml:space="preserve">6. Tadschikistan das Verwaltungsgericht Ansbach für die Bezirke aller bayerischen Verwaltungsgerichte,</w:t>
      </w:r>
    </w:p>
    <w:p>
      <w:r>
        <w:t xml:space="preserve">7. Türkei und Syrien das Verwaltungsgericht Ansbach für den eigenen und für den Bezirk des Verwaltungsgerichts Augsburg.</w:t>
      </w:r>
    </w:p>
    <w:p>
      <w:r>
        <w:rPr>
          <w:color w:val="555555"/>
          <w:sz w:val="17"/>
        </w:rPr>
        <w:t xml:space="preserve">Zitiervorschlag: § 8d ZustV (Bayern)</w:t>
      </w:r>
    </w:p>
    <w:p>
      <w:r>
        <w:rPr>
          <w:color w:val="555555"/>
          <w:sz w:val="17"/>
        </w:rPr>
        <w:t xml:space="preserve">Quelle: bayernrecht, abgerufen 27.08.2026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https://recht.nulegal.eu/gesetze/by-BayZustV--2015/8d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