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8a ZustV (Bayern) — Geldwäschegesetz</w:t>
      </w:r>
    </w:p>
    <w:p>
      <w:r>
        <w:rPr>
          <w:color w:val="555555"/>
          <w:sz w:val="18"/>
        </w:rPr>
        <w:t xml:space="preserve">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Soweit Bundesrecht nichts anderes bestimmt, ist zuständig für die Durchführung des Geldwäschegesetzes</w:t>
      </w:r>
    </w:p>
    <w:p>
      <w:r>
        <w:t xml:space="preserve">1. die Regierung von Niederbayern für die Regierungsbezirke Ober- und Niederbayern,</w:t>
      </w:r>
    </w:p>
    <w:p>
      <w:r>
        <w:t xml:space="preserve">2. im Übrigen die Regierung von Mittelfranken.</w:t>
      </w:r>
    </w:p>
    <w:p>
      <w:r>
        <w:t xml:space="preserve">Die Zuständigkeit der für die Erteilung der glücksspielrechtlichen Erlaubnis für Spielbanken und für Veranstalter und Vermittler von Glücksspielen im Internet zuständigen Behörden bleibt unberührt.</w:t>
      </w:r>
    </w:p>
    <w:p>
      <w:r>
        <w:rPr>
          <w:color w:val="555555"/>
          <w:sz w:val="17"/>
        </w:rPr>
        <w:t xml:space="preserve">Zitiervorschlag: § 8a ZustV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https://recht.nulegal.eu/gesetze/by-BayZustV--2015/8a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