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49 ZustV (Bayern) — Wassersicherstellungsgesetz</w:t>
      </w:r>
    </w:p>
    <w:p>
      <w:r>
        <w:rPr>
          <w:color w:val="555555"/>
          <w:sz w:val="18"/>
        </w:rPr>
        <w:t xml:space="preserve">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Für den Vollzug des Wassersicherstellungsgesetzes sind die Regierungen zuständig.</w:t>
      </w:r>
    </w:p>
    <w:p>
      <w:r>
        <w:t xml:space="preserve">(2) Abweichend von Abs. 1 sind die Kreisverwaltungsbehörden zuständig, soweit</w:t>
      </w:r>
    </w:p>
    <w:p>
      <w:r>
        <w:t xml:space="preserve">1. das Gebiet kreisangehöriger Gemeinden und</w:t>
      </w:r>
    </w:p>
    <w:p>
      <w:r>
        <w:t xml:space="preserve">2. der Vollzug der §§ 5 und 6, 7 Abs. 2 des Wassersicherstellungsgesetzes in Verbindung mit §§ 5 und 6, 8 und 9 Abs. 2, §§ 10 und 11 Abs. 2, § 12 Abs. 2, § 18 Abs. 1 und 2, § 19 Abs. 3, § 20 Abs. 2 des Wassersicherstellungsgesetzes sowie § 21 Abs. 3 des Wassersicherstellungsgesetzes in Verbindung mit § 19 Abs. 3 des Wassersicherstellungsgesetzes</w:t>
      </w:r>
    </w:p>
    <w:p>
      <w:r>
        <w:t xml:space="preserve">betroffen sind.</w:t>
      </w:r>
    </w:p>
    <w:p>
      <w:r>
        <w:t xml:space="preserve">(3) Die Bewirtschaftung der Haushaltsmittel für Aufwendungsersatz (§§ 10, 11 Abs. 2 und § 12 Abs. 2 des Wassersicherstellungsgesetzes) und für Entschädigungen (§§ 19, 21 des Wassersicherstellungsgesetzes) obliegt dem Landesamt für Umwelt.</w:t>
      </w:r>
    </w:p>
    <w:p>
      <w:r>
        <w:rPr>
          <w:color w:val="555555"/>
          <w:sz w:val="17"/>
        </w:rPr>
        <w:t xml:space="preserve">Zitiervorschlag: § 49 ZustV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https://recht.nulegal.eu/gesetze/by-BayZustV--2015/49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49 ZustV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