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ZustV (Bayern) — Bewachungsverordnung</w:t>
      </w:r>
    </w:p>
    <w:p>
      <w:r>
        <w:rPr>
          <w:color w:val="555555"/>
          <w:sz w:val="18"/>
        </w:rPr>
        <w:t xml:space="preserve">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Für das Verlangen auf Vorzeigen des Ausweises nach § 11 Abs. 3 der Bewachungsverordnung (BewachV) ist neben den Kreisverwaltungsbehörden die Polizei im Sinn des Art. 1 PAG zuständig.</w:t>
      </w:r>
    </w:p>
    <w:p>
      <w:r>
        <w:t xml:space="preserve">(2) Örtlich zuständig für</w:t>
      </w:r>
    </w:p>
    <w:p>
      <w:r>
        <w:t xml:space="preserve">1. die Entgegennahme der Meldungen nach § 9 Abs. 2 BewachV und für die Überprüfung des Vorliegens der Voraussetzungen nach § 9 Abs. 1 BewachV ist die Kreisverwaltungsbehörde, in deren Bereich die betreffende Person beschäftigt ist,</w:t>
      </w:r>
    </w:p>
    <w:p>
      <w:r>
        <w:t xml:space="preserve">2. die Entgegennahme der Anzeige nach § 10 Abs. 1 Satz 3, § 13 Abs. 2 BewachV sind die Polizeidienststelle, in deren Bereich von der Waffe Gebrauch gemacht wurde, und die Kreisverwaltungsbehörde, bei der die betreffende Person nach § 9 Abs. 2 BewachV gemeldet ist.</w:t>
      </w:r>
    </w:p>
    <w:p>
      <w:r>
        <w:rPr>
          <w:color w:val="555555"/>
          <w:sz w:val="17"/>
        </w:rPr>
        <w:t xml:space="preserve">Zitiervorschlag: § 39 ZustV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https://recht.nulegal.eu/gesetze/by-BayZustV--2015/39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