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ZustV (Bayern) — Vereinsgesetz</w:t>
      </w:r>
    </w:p>
    <w:p>
      <w:r>
        <w:rPr>
          <w:color w:val="555555"/>
          <w:sz w:val="18"/>
        </w:rPr>
        <w:t xml:space="preserve">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Für den Vollzug eines Vereinsverbots sind die Regierungen zuständig, soweit das Verbot nicht von der Verbotsbehörde selbst (§ 3 Abs. 2 des Vereinsgesetzes) oder von den von ihr nach § 10 Abs. 3 und § 11 Abs. 3 des Vereinsgesetzes beauftragten Stellen zu vollziehen ist.</w:t>
      </w:r>
    </w:p>
    <w:p>
      <w:r>
        <w:t xml:space="preserve">(2) Örtlich zuständig ist die Regierung, in deren Bezirk Vollzugsmaßnahmen zu treffen sind. Sind nach Satz 1 mehrere Regierungen zuständig, kann das Staatsministerium des Innern, für Sport und Integration für den Einzelfall eine Regierung bestimmen, die für den Vollzug des Vereinsverbots im ganzen Staatsgebiet zuständig ist.</w:t>
      </w:r>
    </w:p>
    <w:p>
      <w:r>
        <w:rPr>
          <w:color w:val="555555"/>
          <w:sz w:val="17"/>
        </w:rPr>
        <w:t xml:space="preserve">Zitiervorschlag: § 2 ZustV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https://recht.nulegal.eu/gesetze/by-BayZustV--2015/2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ZustV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