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ZAPO/FöL II (Bayern)</w:t>
      </w:r>
    </w:p>
    <w:p>
      <w:r>
        <w:rPr>
          <w:color w:val="555555"/>
          <w:sz w:val="18"/>
        </w:rPr>
        <w:t xml:space="preserve">Förderlehrerprüfungsordnung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22 Abs. 6 Halbsatz 2 und Art. 67 Satz 1 Nrn. 2 und 3 des Gesetzes über die Leistungslaufbahn und die Fachlaufbahnen der bayerischen Beamten und Beamtinnen (Leistungslaufbahngesetz – LlbG) vom 5. August 2010 (GVBl S. 410, 571, BayRS 2030-1-4-F) erlässt das Bayerische Staatsministerium für Unterricht und Kultus, soweit erforderlich im Einvernehmen mit dem Bayerischen Staatsministerium der Finanzen und mit der Zustimmung des Bayerischen Landespersonalausschusses, folgende Verordnung:</w:t>
      </w:r>
    </w:p>
    <w:p>
      <w:r>
        <w:rPr>
          <w:color w:val="555555"/>
          <w:sz w:val="17"/>
        </w:rPr>
        <w:t xml:space="preserve">Zitiervorschlag: Eingangsformel ZAPO/FöL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https://recht.nulegal.eu/gesetze/by-BayZAPO_FoeLII/eingangsformel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