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ZAPO/FöL II (Bayern) — In-Kraft-Treten, Außer-Kraft-Treten</w:t>
      </w:r>
    </w:p>
    <w:p>
      <w:r>
        <w:rPr>
          <w:color w:val="555555"/>
          <w:sz w:val="18"/>
        </w:rPr>
        <w:t xml:space="preserve">Förderlehrerprüfungsordnung II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Diese Verordnung tritt mit Wirkung vom 1. August 2011 in Kraft. Abweichend von Satz 1 tritt § 25 mit Wirkung vom 1. Juli 2011 in Kraft.</w:t>
      </w:r>
    </w:p>
    <w:p>
      <w:r>
        <w:t xml:space="preserve">(2) § 24 tritt am 31. Dezember 2023 außer Kraft.</w:t>
      </w:r>
    </w:p>
    <w:p>
      <w:r>
        <w:rPr>
          <w:color w:val="555555"/>
          <w:sz w:val="17"/>
        </w:rPr>
        <w:t xml:space="preserve">Zitiervorschlag: § 25 ZAPO/FöL II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https://recht.nulegal.eu/gesetze/by-BayZAPO_FoeLII/25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