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ZAPO/FöL II (Bayern) — Zulassung zum Vorbereitungsdienst</w:t>
      </w:r>
    </w:p>
    <w:p>
      <w:r>
        <w:rPr>
          <w:color w:val="555555"/>
          <w:sz w:val="18"/>
        </w:rPr>
        <w:t xml:space="preserve">Förderlehrerprüfungsordnung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Vorbereitungsdienst der Förderlehrerinnen und Förderlehrer kann durch die Ernennungsbehörde zugelassen werden, wer</w:t>
      </w:r>
    </w:p>
    <w:p>
      <w:r>
        <w:t xml:space="preserve">1. die Abschlussprüfung am Staatsinstitut für die Ausbildung der Förderlehrer bestanden hat und</w:t>
      </w:r>
    </w:p>
    <w:p>
      <w:r>
        <w:t xml:space="preserve">2. neben den sonstigen für die Berufung in das Beamtenverhältnis auf Widerruf erforderlichen Voraussetzungen die für die Unterrichtstätigkeit notwendige Eignung besitzt.</w:t>
      </w:r>
    </w:p>
    <w:p>
      <w:r>
        <w:rPr>
          <w:color w:val="555555"/>
          <w:sz w:val="17"/>
        </w:rPr>
        <w:t xml:space="preserve">Zitiervorschlag: § 21 ZAPO/FöL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https://recht.nulegal.eu/gesetze/by-BayZAPO_FoeLII/21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