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ZAPO/FöL II (Bayern) — Einteilung der Prüfung</w:t>
      </w:r>
    </w:p>
    <w:p>
      <w:r>
        <w:rPr>
          <w:color w:val="555555"/>
          <w:sz w:val="18"/>
        </w:rPr>
        <w:t xml:space="preserve">Förderlehrerprüfungsordnung II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Prüfung besteht aus einer schriftlichen Prüfung, einer schulpraktischen Prüfung und zwei mündlichen Prüfungen; in die Gesamtnote fließt auch die gemäß § 15 Abs. 3 gebildete Durchschnittsnote ein.</w:t>
      </w:r>
    </w:p>
    <w:p>
      <w:r>
        <w:rPr>
          <w:color w:val="555555"/>
          <w:sz w:val="17"/>
        </w:rPr>
        <w:t xml:space="preserve">Zitiervorschlag: § 11 ZAPO/FöL II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https://recht.nulegal.eu/gesetze/by-BayZAPO_FoeLII/11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