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WGV (Bayern)</w:t>
      </w:r>
    </w:p>
    <w:p>
      <w:r>
        <w:rPr>
          <w:color w:val="555555"/>
          <w:sz w:val="18"/>
        </w:rPr>
        <w:t xml:space="preserve">Verordnung über Waldgenossenschaften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83 Abs. 4 Satz 2 der Gemeindeordnung (GO) in der Fassung der Bekanntmachung vom 6. Januar 1993 (GVBl S. 65, BayRS 2020-1-1-I), zuletzt geändert durch Gesetz vom 24. Juli 1996 (GVBl S. 289),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https://recht.nulegal.eu/gesetze/by-BayWGV--1996/eingangsformel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WGV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