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SWG (Bayern) — Haftung</w:t>
      </w:r>
    </w:p>
    <w:p>
      <w:r>
        <w:rPr>
          <w:color w:val="555555"/>
          <w:sz w:val="18"/>
        </w:rPr>
        <w:t xml:space="preserve">Sicherheitswachtgesetz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§ 48 des Beamtenstatusgesetzes und Art. 78 des Bayerischen Beamtengesetzes gelten entsprechend.</w:t>
      </w:r>
    </w:p>
    <w:p>
      <w:r>
        <w:rPr>
          <w:color w:val="555555"/>
          <w:sz w:val="17"/>
        </w:rPr>
        <w:t xml:space="preserve">Zitiervorschlag: Art 17 SWG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https://recht.nulegal.eu/gesetze/by-BaySWG--1997/17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